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8B057">
      <w:pPr>
        <w:jc w:val="center"/>
        <w:outlineLvl w:val="0"/>
        <w:rPr>
          <w:rFonts w:ascii="黑体" w:hAnsi="黑体" w:eastAsia="黑体" w:cs="黑体"/>
          <w:sz w:val="36"/>
          <w:szCs w:val="36"/>
        </w:rPr>
      </w:pPr>
      <w:bookmarkStart w:id="0" w:name="_Toc10509"/>
      <w:bookmarkStart w:id="1" w:name="_Toc193487320"/>
      <w:r>
        <w:rPr>
          <w:rFonts w:hint="eastAsia" w:ascii="黑体" w:hAnsi="黑体" w:eastAsia="黑体" w:cs="黑体"/>
          <w:sz w:val="36"/>
          <w:szCs w:val="36"/>
        </w:rPr>
        <w:t>经济与管理学院（原商学院）2025年工商管理学</w:t>
      </w:r>
    </w:p>
    <w:p w14:paraId="403537D5">
      <w:pPr>
        <w:jc w:val="center"/>
        <w:outlineLvl w:val="0"/>
        <w:rPr>
          <w:rFonts w:hint="eastAsia" w:ascii="黑体" w:hAnsi="黑体" w:eastAsia="黑体" w:cs="黑体"/>
          <w:sz w:val="36"/>
          <w:szCs w:val="36"/>
        </w:rPr>
      </w:pPr>
      <w:r>
        <w:rPr>
          <w:rFonts w:hint="eastAsia" w:ascii="黑体" w:hAnsi="黑体" w:eastAsia="黑体" w:cs="黑体"/>
          <w:sz w:val="36"/>
          <w:szCs w:val="36"/>
        </w:rPr>
        <w:t>学术型硕士研究生调剂公告</w:t>
      </w:r>
      <w:bookmarkEnd w:id="0"/>
      <w:bookmarkEnd w:id="1"/>
    </w:p>
    <w:p w14:paraId="1A7B4F6C">
      <w:pPr>
        <w:widowControl/>
        <w:spacing w:line="360" w:lineRule="auto"/>
        <w:jc w:val="left"/>
        <w:rPr>
          <w:rFonts w:hint="eastAsia" w:ascii="宋体" w:hAnsi="宋体" w:cs="宋体"/>
          <w:b/>
          <w:bCs/>
          <w:kern w:val="0"/>
          <w:sz w:val="24"/>
        </w:rPr>
      </w:pPr>
    </w:p>
    <w:p w14:paraId="4B13C77B">
      <w:pPr>
        <w:widowControl/>
        <w:numPr>
          <w:ilvl w:val="0"/>
          <w:numId w:val="1"/>
        </w:numPr>
        <w:spacing w:line="560" w:lineRule="exact"/>
        <w:jc w:val="left"/>
        <w:rPr>
          <w:rFonts w:hint="eastAsia" w:ascii="黑体" w:hAnsi="黑体" w:eastAsia="黑体" w:cs="黑体"/>
          <w:kern w:val="0"/>
          <w:sz w:val="28"/>
          <w:szCs w:val="28"/>
        </w:rPr>
      </w:pPr>
      <w:r>
        <w:rPr>
          <w:rFonts w:hint="eastAsia" w:ascii="黑体" w:hAnsi="黑体" w:eastAsia="黑体" w:cs="黑体"/>
          <w:kern w:val="0"/>
          <w:sz w:val="28"/>
          <w:szCs w:val="28"/>
        </w:rPr>
        <w:t>学院简介</w:t>
      </w:r>
    </w:p>
    <w:p w14:paraId="63896E88">
      <w:pPr>
        <w:widowControl/>
        <w:spacing w:line="504" w:lineRule="atLeast"/>
        <w:ind w:firstLine="480" w:firstLineChars="200"/>
        <w:rPr>
          <w:rFonts w:ascii="仿宋" w:hAnsi="仿宋" w:eastAsia="仿宋" w:cs="仿宋"/>
          <w:sz w:val="24"/>
        </w:rPr>
      </w:pPr>
      <w:r>
        <w:rPr>
          <w:rFonts w:ascii="仿宋" w:hAnsi="仿宋" w:eastAsia="仿宋" w:cs="仿宋"/>
          <w:sz w:val="24"/>
        </w:rPr>
        <w:t>江西师范大学</w:t>
      </w:r>
      <w:r>
        <w:rPr>
          <w:rFonts w:hint="eastAsia" w:ascii="仿宋" w:hAnsi="仿宋" w:eastAsia="仿宋" w:cs="仿宋"/>
          <w:sz w:val="24"/>
        </w:rPr>
        <w:t>经济与管理学院肇基于1940年国立中正大学经济系，八十余载栉风沐雨，于2025年1月23日由江西师范大学商学院和江西师范大学财政金融学院合流成川。学院立足新发展阶段，贯彻新发展理念，紧扣国家战略和经济社会发展需求，以“建一流学院、创一流学科、办一流专业、育一流人才”为纲领，矢志培养具有家国情怀的创新型经管人才。</w:t>
      </w:r>
    </w:p>
    <w:p w14:paraId="24C35559">
      <w:pPr>
        <w:widowControl/>
        <w:spacing w:line="504" w:lineRule="atLeast"/>
        <w:ind w:firstLine="480" w:firstLineChars="200"/>
        <w:rPr>
          <w:rFonts w:hint="eastAsia" w:ascii="仿宋" w:hAnsi="仿宋" w:eastAsia="仿宋" w:cs="仿宋"/>
          <w:sz w:val="24"/>
        </w:rPr>
      </w:pPr>
      <w:r>
        <w:rPr>
          <w:rFonts w:ascii="仿宋" w:hAnsi="仿宋" w:eastAsia="仿宋" w:cs="仿宋"/>
          <w:sz w:val="24"/>
        </w:rPr>
        <w:t>工商管理</w:t>
      </w:r>
      <w:r>
        <w:rPr>
          <w:rFonts w:hint="eastAsia" w:ascii="仿宋" w:hAnsi="仿宋" w:eastAsia="仿宋" w:cs="仿宋"/>
          <w:sz w:val="24"/>
        </w:rPr>
        <w:t>学一级学科</w:t>
      </w:r>
      <w:r>
        <w:rPr>
          <w:rFonts w:ascii="仿宋" w:hAnsi="仿宋" w:eastAsia="仿宋" w:cs="仿宋"/>
          <w:sz w:val="24"/>
        </w:rPr>
        <w:t>硕士学位授权</w:t>
      </w:r>
      <w:r>
        <w:rPr>
          <w:rFonts w:hint="eastAsia" w:ascii="仿宋" w:hAnsi="仿宋" w:eastAsia="仿宋" w:cs="仿宋"/>
          <w:sz w:val="24"/>
        </w:rPr>
        <w:t>点于2011年获批，</w:t>
      </w:r>
      <w:r>
        <w:rPr>
          <w:rFonts w:ascii="仿宋" w:hAnsi="仿宋" w:eastAsia="仿宋" w:cs="仿宋"/>
          <w:sz w:val="24"/>
        </w:rPr>
        <w:t>现有企业管理、市场营销、人力资源管理、会计学4个二级学科硕士</w:t>
      </w:r>
      <w:r>
        <w:rPr>
          <w:rFonts w:hint="eastAsia" w:ascii="仿宋" w:hAnsi="仿宋" w:eastAsia="仿宋" w:cs="仿宋"/>
          <w:sz w:val="24"/>
        </w:rPr>
        <w:t>授权</w:t>
      </w:r>
      <w:r>
        <w:rPr>
          <w:rFonts w:ascii="仿宋" w:hAnsi="仿宋" w:eastAsia="仿宋" w:cs="仿宋"/>
          <w:sz w:val="24"/>
        </w:rPr>
        <w:t>点。</w:t>
      </w:r>
      <w:r>
        <w:rPr>
          <w:rFonts w:hint="eastAsia" w:ascii="仿宋" w:hAnsi="仿宋" w:eastAsia="仿宋" w:cs="仿宋"/>
          <w:sz w:val="24"/>
        </w:rPr>
        <w:t>该</w:t>
      </w:r>
      <w:r>
        <w:rPr>
          <w:rFonts w:ascii="仿宋" w:hAnsi="仿宋" w:eastAsia="仿宋" w:cs="仿宋"/>
          <w:sz w:val="24"/>
        </w:rPr>
        <w:t>学科综合实力保持在全国师范大学研究生教育前五位方阵、全国高校研究生教育前八十位方阵，软科排名从2020年的93位（前40%）跃升</w:t>
      </w:r>
      <w:r>
        <w:rPr>
          <w:rFonts w:hint="eastAsia" w:ascii="仿宋" w:hAnsi="仿宋" w:eastAsia="仿宋" w:cs="仿宋"/>
          <w:sz w:val="24"/>
        </w:rPr>
        <w:t>到</w:t>
      </w:r>
      <w:r>
        <w:rPr>
          <w:rFonts w:ascii="仿宋" w:hAnsi="仿宋" w:eastAsia="仿宋" w:cs="仿宋"/>
          <w:sz w:val="24"/>
        </w:rPr>
        <w:t>2024年的76位（前30%），是国内具有重要影响的管理类学科之一。</w:t>
      </w:r>
    </w:p>
    <w:p w14:paraId="32072AC5">
      <w:pPr>
        <w:widowControl/>
        <w:spacing w:line="560" w:lineRule="exact"/>
        <w:jc w:val="left"/>
        <w:rPr>
          <w:rFonts w:hint="eastAsia" w:ascii="黑体" w:hAnsi="黑体" w:eastAsia="黑体" w:cs="黑体"/>
          <w:kern w:val="0"/>
          <w:sz w:val="28"/>
          <w:szCs w:val="28"/>
        </w:rPr>
      </w:pPr>
      <w:r>
        <w:rPr>
          <w:rFonts w:hint="eastAsia" w:ascii="黑体" w:hAnsi="黑体" w:eastAsia="黑体" w:cs="黑体"/>
          <w:kern w:val="0"/>
          <w:sz w:val="28"/>
          <w:szCs w:val="28"/>
        </w:rPr>
        <w:t>二、接收调剂专业及名额</w:t>
      </w:r>
    </w:p>
    <w:tbl>
      <w:tblPr>
        <w:tblStyle w:val="6"/>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885"/>
        <w:gridCol w:w="1629"/>
        <w:gridCol w:w="1757"/>
        <w:gridCol w:w="1757"/>
      </w:tblGrid>
      <w:tr w14:paraId="26062003">
        <w:tblPrEx>
          <w:tblCellMar>
            <w:top w:w="0" w:type="dxa"/>
            <w:left w:w="108" w:type="dxa"/>
            <w:bottom w:w="0" w:type="dxa"/>
            <w:right w:w="108" w:type="dxa"/>
          </w:tblCellMar>
        </w:tblPrEx>
        <w:trPr>
          <w:jc w:val="center"/>
        </w:trPr>
        <w:tc>
          <w:tcPr>
            <w:tcW w:w="1757" w:type="dxa"/>
            <w:vAlign w:val="center"/>
          </w:tcPr>
          <w:p w14:paraId="04120048">
            <w:pPr>
              <w:spacing w:line="560" w:lineRule="exact"/>
              <w:jc w:val="center"/>
              <w:rPr>
                <w:rFonts w:hint="eastAsia" w:ascii="仿宋" w:hAnsi="仿宋" w:eastAsia="仿宋" w:cs="仿宋_GB2312"/>
                <w:b/>
                <w:bCs/>
                <w:sz w:val="24"/>
              </w:rPr>
            </w:pPr>
            <w:r>
              <w:rPr>
                <w:rFonts w:hint="eastAsia" w:ascii="仿宋" w:hAnsi="仿宋" w:eastAsia="仿宋" w:cs="仿宋_GB2312"/>
                <w:b/>
                <w:bCs/>
                <w:sz w:val="24"/>
              </w:rPr>
              <w:t>专业代码</w:t>
            </w:r>
          </w:p>
        </w:tc>
        <w:tc>
          <w:tcPr>
            <w:tcW w:w="1885" w:type="dxa"/>
            <w:vAlign w:val="center"/>
          </w:tcPr>
          <w:p w14:paraId="67E44770">
            <w:pPr>
              <w:spacing w:line="560" w:lineRule="exact"/>
              <w:jc w:val="center"/>
              <w:rPr>
                <w:rFonts w:hint="eastAsia" w:ascii="仿宋" w:hAnsi="仿宋" w:eastAsia="仿宋" w:cs="仿宋_GB2312"/>
                <w:b/>
                <w:bCs/>
                <w:sz w:val="24"/>
              </w:rPr>
            </w:pPr>
            <w:r>
              <w:rPr>
                <w:rFonts w:hint="eastAsia" w:ascii="仿宋" w:hAnsi="仿宋" w:eastAsia="仿宋" w:cs="仿宋_GB2312"/>
                <w:b/>
                <w:bCs/>
                <w:sz w:val="24"/>
              </w:rPr>
              <w:t>专业名称</w:t>
            </w:r>
          </w:p>
        </w:tc>
        <w:tc>
          <w:tcPr>
            <w:tcW w:w="1629" w:type="dxa"/>
          </w:tcPr>
          <w:p w14:paraId="50BCC952">
            <w:pPr>
              <w:spacing w:line="560" w:lineRule="exact"/>
              <w:jc w:val="center"/>
              <w:rPr>
                <w:rFonts w:hint="eastAsia" w:ascii="仿宋" w:hAnsi="仿宋" w:eastAsia="仿宋" w:cs="仿宋_GB2312"/>
                <w:b/>
                <w:bCs/>
                <w:sz w:val="24"/>
              </w:rPr>
            </w:pPr>
            <w:r>
              <w:rPr>
                <w:rFonts w:hint="eastAsia" w:ascii="仿宋" w:hAnsi="仿宋" w:eastAsia="仿宋" w:cs="仿宋_GB2312"/>
                <w:b/>
                <w:bCs/>
                <w:sz w:val="24"/>
              </w:rPr>
              <w:t>学位类别</w:t>
            </w:r>
          </w:p>
        </w:tc>
        <w:tc>
          <w:tcPr>
            <w:tcW w:w="1757" w:type="dxa"/>
            <w:vAlign w:val="center"/>
          </w:tcPr>
          <w:p w14:paraId="66811FEF">
            <w:pPr>
              <w:spacing w:line="560" w:lineRule="exact"/>
              <w:jc w:val="center"/>
              <w:rPr>
                <w:rFonts w:hint="eastAsia" w:ascii="仿宋" w:hAnsi="仿宋" w:eastAsia="仿宋" w:cs="仿宋_GB2312"/>
                <w:b/>
                <w:bCs/>
                <w:sz w:val="24"/>
              </w:rPr>
            </w:pPr>
            <w:r>
              <w:rPr>
                <w:rFonts w:hint="eastAsia" w:ascii="仿宋" w:hAnsi="仿宋" w:eastAsia="仿宋" w:cs="仿宋_GB2312"/>
                <w:b/>
                <w:bCs/>
                <w:sz w:val="24"/>
              </w:rPr>
              <w:t>学习形式</w:t>
            </w:r>
          </w:p>
        </w:tc>
        <w:tc>
          <w:tcPr>
            <w:tcW w:w="1757" w:type="dxa"/>
            <w:vAlign w:val="center"/>
          </w:tcPr>
          <w:p w14:paraId="6C00D625">
            <w:pPr>
              <w:spacing w:line="560" w:lineRule="exact"/>
              <w:jc w:val="center"/>
              <w:rPr>
                <w:rFonts w:hint="eastAsia" w:ascii="仿宋" w:hAnsi="仿宋" w:eastAsia="仿宋" w:cs="仿宋_GB2312"/>
                <w:b/>
                <w:bCs/>
                <w:sz w:val="24"/>
              </w:rPr>
            </w:pPr>
            <w:r>
              <w:rPr>
                <w:rFonts w:hint="eastAsia" w:ascii="仿宋" w:hAnsi="仿宋" w:eastAsia="仿宋" w:cs="仿宋_GB2312"/>
                <w:b/>
                <w:bCs/>
                <w:sz w:val="24"/>
              </w:rPr>
              <w:t>拟调剂名额</w:t>
            </w:r>
          </w:p>
        </w:tc>
      </w:tr>
      <w:tr w14:paraId="2A0E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vAlign w:val="center"/>
          </w:tcPr>
          <w:p w14:paraId="148525C1">
            <w:pPr>
              <w:spacing w:line="560" w:lineRule="exact"/>
              <w:jc w:val="center"/>
              <w:rPr>
                <w:rFonts w:hint="eastAsia" w:ascii="仿宋_GB2312" w:hAnsi="仿宋_GB2312" w:eastAsia="仿宋_GB2312" w:cs="仿宋_GB2312"/>
                <w:sz w:val="24"/>
              </w:rPr>
            </w:pPr>
            <w:r>
              <w:rPr>
                <w:rFonts w:hint="eastAsia" w:ascii="仿宋" w:hAnsi="仿宋" w:eastAsia="仿宋" w:cs="仿宋"/>
                <w:kern w:val="0"/>
                <w:sz w:val="24"/>
              </w:rPr>
              <w:t>1202</w:t>
            </w:r>
            <w:r>
              <w:rPr>
                <w:rFonts w:ascii="仿宋" w:hAnsi="仿宋" w:eastAsia="仿宋" w:cs="仿宋"/>
                <w:kern w:val="0"/>
                <w:sz w:val="24"/>
              </w:rPr>
              <w:t>00</w:t>
            </w:r>
          </w:p>
        </w:tc>
        <w:tc>
          <w:tcPr>
            <w:tcW w:w="1885" w:type="dxa"/>
            <w:vAlign w:val="center"/>
          </w:tcPr>
          <w:p w14:paraId="2BCE6125">
            <w:pPr>
              <w:spacing w:line="560" w:lineRule="exact"/>
              <w:jc w:val="center"/>
              <w:rPr>
                <w:rFonts w:hint="eastAsia" w:ascii="仿宋_GB2312" w:hAnsi="仿宋_GB2312" w:eastAsia="仿宋_GB2312" w:cs="仿宋_GB2312"/>
                <w:sz w:val="24"/>
              </w:rPr>
            </w:pPr>
            <w:r>
              <w:rPr>
                <w:rFonts w:hint="eastAsia" w:ascii="仿宋" w:hAnsi="仿宋" w:eastAsia="仿宋" w:cs="仿宋"/>
                <w:kern w:val="0"/>
                <w:sz w:val="24"/>
              </w:rPr>
              <w:t>工商管理学（企业管理方向）</w:t>
            </w:r>
          </w:p>
        </w:tc>
        <w:tc>
          <w:tcPr>
            <w:tcW w:w="1629" w:type="dxa"/>
            <w:vAlign w:val="center"/>
          </w:tcPr>
          <w:p w14:paraId="02E5519B">
            <w:pPr>
              <w:spacing w:line="560" w:lineRule="exact"/>
              <w:jc w:val="center"/>
              <w:rPr>
                <w:rFonts w:hint="eastAsia" w:ascii="仿宋_GB2312" w:hAnsi="仿宋_GB2312" w:eastAsia="仿宋_GB2312" w:cs="仿宋_GB2312"/>
                <w:sz w:val="24"/>
              </w:rPr>
            </w:pPr>
            <w:r>
              <w:rPr>
                <w:rFonts w:hint="eastAsia" w:ascii="仿宋" w:hAnsi="仿宋" w:eastAsia="仿宋" w:cs="仿宋"/>
                <w:kern w:val="0"/>
                <w:sz w:val="24"/>
              </w:rPr>
              <w:t>学术型</w:t>
            </w:r>
          </w:p>
        </w:tc>
        <w:tc>
          <w:tcPr>
            <w:tcW w:w="1757" w:type="dxa"/>
            <w:vAlign w:val="center"/>
          </w:tcPr>
          <w:p w14:paraId="184CBBF7">
            <w:pPr>
              <w:spacing w:line="560" w:lineRule="exact"/>
              <w:jc w:val="center"/>
              <w:rPr>
                <w:rFonts w:hint="eastAsia" w:ascii="仿宋_GB2312" w:hAnsi="仿宋_GB2312" w:eastAsia="仿宋_GB2312" w:cs="仿宋_GB2312"/>
                <w:sz w:val="24"/>
              </w:rPr>
            </w:pPr>
            <w:r>
              <w:rPr>
                <w:rFonts w:hint="eastAsia" w:ascii="仿宋" w:hAnsi="仿宋" w:eastAsia="仿宋" w:cs="仿宋"/>
                <w:kern w:val="0"/>
                <w:sz w:val="24"/>
              </w:rPr>
              <w:t>全日制</w:t>
            </w:r>
          </w:p>
        </w:tc>
        <w:tc>
          <w:tcPr>
            <w:tcW w:w="1757" w:type="dxa"/>
            <w:vAlign w:val="center"/>
          </w:tcPr>
          <w:p w14:paraId="5ECCA0B1">
            <w:pPr>
              <w:spacing w:line="560" w:lineRule="exact"/>
              <w:jc w:val="center"/>
              <w:rPr>
                <w:rFonts w:hint="eastAsia" w:ascii="仿宋" w:hAnsi="仿宋" w:eastAsia="仿宋" w:cs="仿宋_GB2312"/>
                <w:sz w:val="24"/>
              </w:rPr>
            </w:pPr>
            <w:r>
              <w:rPr>
                <w:rFonts w:hint="eastAsia" w:ascii="仿宋" w:hAnsi="仿宋" w:eastAsia="仿宋" w:cs="仿宋_GB2312"/>
                <w:sz w:val="24"/>
              </w:rPr>
              <w:t>9</w:t>
            </w:r>
          </w:p>
        </w:tc>
      </w:tr>
      <w:tr w14:paraId="5E2A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vAlign w:val="center"/>
          </w:tcPr>
          <w:p w14:paraId="650497CC">
            <w:pPr>
              <w:spacing w:line="560" w:lineRule="exact"/>
              <w:jc w:val="center"/>
              <w:rPr>
                <w:rFonts w:hint="eastAsia" w:ascii="仿宋_GB2312" w:hAnsi="仿宋_GB2312" w:eastAsia="仿宋_GB2312" w:cs="仿宋_GB2312"/>
                <w:sz w:val="24"/>
              </w:rPr>
            </w:pPr>
            <w:r>
              <w:rPr>
                <w:rFonts w:hint="eastAsia" w:ascii="仿宋" w:hAnsi="仿宋" w:eastAsia="仿宋" w:cs="仿宋"/>
                <w:kern w:val="0"/>
                <w:sz w:val="24"/>
              </w:rPr>
              <w:t>1202</w:t>
            </w:r>
            <w:r>
              <w:rPr>
                <w:rFonts w:ascii="仿宋" w:hAnsi="仿宋" w:eastAsia="仿宋" w:cs="仿宋"/>
                <w:kern w:val="0"/>
                <w:sz w:val="24"/>
              </w:rPr>
              <w:t>00</w:t>
            </w:r>
          </w:p>
        </w:tc>
        <w:tc>
          <w:tcPr>
            <w:tcW w:w="1885" w:type="dxa"/>
            <w:vAlign w:val="center"/>
          </w:tcPr>
          <w:p w14:paraId="07A6C907">
            <w:pPr>
              <w:spacing w:line="560" w:lineRule="exact"/>
              <w:jc w:val="center"/>
              <w:rPr>
                <w:rFonts w:hint="eastAsia" w:ascii="仿宋_GB2312" w:hAnsi="仿宋_GB2312" w:eastAsia="仿宋_GB2312" w:cs="仿宋_GB2312"/>
                <w:sz w:val="24"/>
              </w:rPr>
            </w:pPr>
            <w:r>
              <w:rPr>
                <w:rFonts w:hint="eastAsia" w:ascii="仿宋" w:hAnsi="仿宋" w:eastAsia="仿宋" w:cs="仿宋"/>
                <w:kern w:val="0"/>
                <w:sz w:val="24"/>
              </w:rPr>
              <w:t>工商管理学（</w:t>
            </w:r>
            <w:r>
              <w:rPr>
                <w:rFonts w:ascii="仿宋" w:hAnsi="仿宋" w:eastAsia="仿宋" w:cs="仿宋"/>
                <w:kern w:val="0"/>
                <w:sz w:val="24"/>
              </w:rPr>
              <w:t>市场营销</w:t>
            </w:r>
            <w:r>
              <w:rPr>
                <w:rFonts w:hint="eastAsia" w:ascii="仿宋" w:hAnsi="仿宋" w:eastAsia="仿宋" w:cs="仿宋"/>
                <w:kern w:val="0"/>
                <w:sz w:val="24"/>
              </w:rPr>
              <w:t>方向）</w:t>
            </w:r>
          </w:p>
        </w:tc>
        <w:tc>
          <w:tcPr>
            <w:tcW w:w="1629" w:type="dxa"/>
            <w:vAlign w:val="center"/>
          </w:tcPr>
          <w:p w14:paraId="2615105B">
            <w:pPr>
              <w:spacing w:line="560" w:lineRule="exact"/>
              <w:jc w:val="center"/>
              <w:rPr>
                <w:rFonts w:hint="eastAsia" w:ascii="仿宋_GB2312" w:hAnsi="仿宋_GB2312" w:eastAsia="仿宋_GB2312" w:cs="仿宋_GB2312"/>
                <w:sz w:val="24"/>
              </w:rPr>
            </w:pPr>
            <w:r>
              <w:rPr>
                <w:rFonts w:hint="eastAsia" w:ascii="仿宋" w:hAnsi="仿宋" w:eastAsia="仿宋" w:cs="仿宋"/>
                <w:kern w:val="0"/>
                <w:sz w:val="24"/>
              </w:rPr>
              <w:t>学术型</w:t>
            </w:r>
          </w:p>
        </w:tc>
        <w:tc>
          <w:tcPr>
            <w:tcW w:w="1757" w:type="dxa"/>
            <w:vAlign w:val="center"/>
          </w:tcPr>
          <w:p w14:paraId="03A9D605">
            <w:pPr>
              <w:spacing w:line="560" w:lineRule="exact"/>
              <w:jc w:val="center"/>
              <w:rPr>
                <w:rFonts w:hint="eastAsia" w:ascii="仿宋_GB2312" w:hAnsi="仿宋_GB2312" w:eastAsia="仿宋_GB2312" w:cs="仿宋_GB2312"/>
                <w:sz w:val="24"/>
              </w:rPr>
            </w:pPr>
            <w:r>
              <w:rPr>
                <w:rFonts w:hint="eastAsia" w:ascii="仿宋" w:hAnsi="仿宋" w:eastAsia="仿宋" w:cs="仿宋"/>
                <w:kern w:val="0"/>
                <w:sz w:val="24"/>
              </w:rPr>
              <w:t>全日制</w:t>
            </w:r>
          </w:p>
        </w:tc>
        <w:tc>
          <w:tcPr>
            <w:tcW w:w="1757" w:type="dxa"/>
            <w:vAlign w:val="center"/>
          </w:tcPr>
          <w:p w14:paraId="61871DE8">
            <w:pPr>
              <w:spacing w:line="560" w:lineRule="exact"/>
              <w:jc w:val="center"/>
              <w:rPr>
                <w:rFonts w:hint="eastAsia" w:ascii="仿宋" w:hAnsi="仿宋" w:eastAsia="仿宋" w:cs="仿宋_GB2312"/>
                <w:sz w:val="24"/>
              </w:rPr>
            </w:pPr>
            <w:r>
              <w:rPr>
                <w:rFonts w:hint="eastAsia" w:ascii="仿宋" w:hAnsi="仿宋" w:eastAsia="仿宋" w:cs="仿宋_GB2312"/>
                <w:sz w:val="24"/>
              </w:rPr>
              <w:t>3</w:t>
            </w:r>
          </w:p>
        </w:tc>
      </w:tr>
      <w:tr w14:paraId="285F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vAlign w:val="center"/>
          </w:tcPr>
          <w:p w14:paraId="344AFF29">
            <w:pPr>
              <w:spacing w:line="560" w:lineRule="exact"/>
              <w:jc w:val="center"/>
              <w:rPr>
                <w:rFonts w:hint="eastAsia" w:ascii="仿宋_GB2312" w:hAnsi="仿宋_GB2312" w:eastAsia="仿宋_GB2312" w:cs="仿宋_GB2312"/>
                <w:sz w:val="24"/>
              </w:rPr>
            </w:pPr>
            <w:r>
              <w:rPr>
                <w:rFonts w:hint="eastAsia" w:ascii="仿宋" w:hAnsi="仿宋" w:eastAsia="仿宋" w:cs="仿宋"/>
                <w:kern w:val="0"/>
                <w:sz w:val="24"/>
              </w:rPr>
              <w:t>1202</w:t>
            </w:r>
            <w:r>
              <w:rPr>
                <w:rFonts w:ascii="仿宋" w:hAnsi="仿宋" w:eastAsia="仿宋" w:cs="仿宋"/>
                <w:kern w:val="0"/>
                <w:sz w:val="24"/>
              </w:rPr>
              <w:t>00</w:t>
            </w:r>
          </w:p>
        </w:tc>
        <w:tc>
          <w:tcPr>
            <w:tcW w:w="1885" w:type="dxa"/>
            <w:vAlign w:val="center"/>
          </w:tcPr>
          <w:p w14:paraId="3C2B9AEA">
            <w:pPr>
              <w:spacing w:line="560" w:lineRule="exact"/>
              <w:jc w:val="center"/>
              <w:rPr>
                <w:rFonts w:hint="eastAsia" w:ascii="仿宋_GB2312" w:hAnsi="仿宋_GB2312" w:eastAsia="仿宋_GB2312" w:cs="仿宋_GB2312"/>
                <w:sz w:val="24"/>
              </w:rPr>
            </w:pPr>
            <w:r>
              <w:rPr>
                <w:rFonts w:hint="eastAsia" w:ascii="仿宋" w:hAnsi="仿宋" w:eastAsia="仿宋" w:cs="仿宋"/>
                <w:kern w:val="0"/>
                <w:sz w:val="24"/>
              </w:rPr>
              <w:t>工商管理学（人力资源管理方向）</w:t>
            </w:r>
          </w:p>
        </w:tc>
        <w:tc>
          <w:tcPr>
            <w:tcW w:w="1629" w:type="dxa"/>
            <w:vAlign w:val="center"/>
          </w:tcPr>
          <w:p w14:paraId="6FE2E6BC">
            <w:pPr>
              <w:spacing w:line="560" w:lineRule="exact"/>
              <w:jc w:val="center"/>
              <w:rPr>
                <w:rFonts w:hint="eastAsia" w:ascii="仿宋_GB2312" w:hAnsi="仿宋_GB2312" w:eastAsia="仿宋_GB2312" w:cs="仿宋_GB2312"/>
                <w:sz w:val="24"/>
              </w:rPr>
            </w:pPr>
            <w:r>
              <w:rPr>
                <w:rFonts w:hint="eastAsia" w:ascii="仿宋" w:hAnsi="仿宋" w:eastAsia="仿宋" w:cs="仿宋"/>
                <w:kern w:val="0"/>
                <w:sz w:val="24"/>
              </w:rPr>
              <w:t>学术型</w:t>
            </w:r>
          </w:p>
        </w:tc>
        <w:tc>
          <w:tcPr>
            <w:tcW w:w="1757" w:type="dxa"/>
            <w:vAlign w:val="center"/>
          </w:tcPr>
          <w:p w14:paraId="6EBAB16E">
            <w:pPr>
              <w:spacing w:line="560" w:lineRule="exact"/>
              <w:jc w:val="center"/>
              <w:rPr>
                <w:rFonts w:hint="eastAsia" w:ascii="仿宋_GB2312" w:hAnsi="仿宋_GB2312" w:eastAsia="仿宋_GB2312" w:cs="仿宋_GB2312"/>
                <w:sz w:val="24"/>
              </w:rPr>
            </w:pPr>
            <w:r>
              <w:rPr>
                <w:rFonts w:hint="eastAsia" w:ascii="仿宋" w:hAnsi="仿宋" w:eastAsia="仿宋" w:cs="仿宋"/>
                <w:kern w:val="0"/>
                <w:sz w:val="24"/>
              </w:rPr>
              <w:t>全日制</w:t>
            </w:r>
          </w:p>
        </w:tc>
        <w:tc>
          <w:tcPr>
            <w:tcW w:w="1757" w:type="dxa"/>
            <w:vAlign w:val="center"/>
          </w:tcPr>
          <w:p w14:paraId="0B35C1F9">
            <w:pPr>
              <w:spacing w:line="560" w:lineRule="exact"/>
              <w:jc w:val="center"/>
              <w:rPr>
                <w:rFonts w:hint="eastAsia" w:ascii="仿宋" w:hAnsi="仿宋" w:eastAsia="仿宋" w:cs="仿宋_GB2312"/>
                <w:sz w:val="24"/>
              </w:rPr>
            </w:pPr>
            <w:r>
              <w:rPr>
                <w:rFonts w:hint="eastAsia" w:ascii="仿宋" w:hAnsi="仿宋" w:eastAsia="仿宋" w:cs="仿宋_GB2312"/>
                <w:sz w:val="24"/>
              </w:rPr>
              <w:t>5</w:t>
            </w:r>
          </w:p>
        </w:tc>
      </w:tr>
    </w:tbl>
    <w:p w14:paraId="0122DF40">
      <w:pPr>
        <w:widowControl/>
        <w:spacing w:line="500" w:lineRule="exact"/>
        <w:jc w:val="left"/>
        <w:rPr>
          <w:rFonts w:hint="eastAsia" w:ascii="黑体" w:hAnsi="黑体" w:eastAsia="黑体" w:cs="黑体"/>
          <w:kern w:val="0"/>
          <w:sz w:val="28"/>
          <w:szCs w:val="28"/>
        </w:rPr>
      </w:pPr>
      <w:r>
        <w:rPr>
          <w:rFonts w:hint="eastAsia" w:ascii="黑体" w:hAnsi="黑体" w:eastAsia="黑体" w:cs="黑体"/>
          <w:kern w:val="0"/>
          <w:sz w:val="28"/>
          <w:szCs w:val="28"/>
        </w:rPr>
        <w:t>三、调剂条件</w:t>
      </w:r>
    </w:p>
    <w:p w14:paraId="4E147A77">
      <w:pPr>
        <w:widowControl/>
        <w:spacing w:line="500" w:lineRule="exact"/>
        <w:ind w:firstLine="480"/>
        <w:rPr>
          <w:rFonts w:hint="eastAsia" w:ascii="仿宋" w:hAnsi="仿宋" w:eastAsia="仿宋" w:cs="仿宋_GB2312"/>
          <w:kern w:val="0"/>
          <w:sz w:val="24"/>
        </w:rPr>
      </w:pPr>
      <w:r>
        <w:rPr>
          <w:rFonts w:hint="eastAsia" w:ascii="仿宋" w:hAnsi="仿宋" w:eastAsia="仿宋" w:cs="仿宋_GB2312"/>
          <w:kern w:val="0"/>
          <w:sz w:val="24"/>
        </w:rPr>
        <w:t>（1）符合调入专业的报考条件。详情请见我校招生简章公布的报考条件。</w:t>
      </w:r>
    </w:p>
    <w:p w14:paraId="658FC034">
      <w:pPr>
        <w:widowControl/>
        <w:spacing w:line="500" w:lineRule="exact"/>
        <w:ind w:firstLine="480"/>
        <w:rPr>
          <w:rFonts w:hint="eastAsia" w:ascii="仿宋" w:hAnsi="仿宋" w:eastAsia="仿宋" w:cs="仿宋_GB2312"/>
          <w:kern w:val="0"/>
          <w:sz w:val="24"/>
        </w:rPr>
      </w:pPr>
      <w:r>
        <w:rPr>
          <w:rFonts w:hint="eastAsia" w:ascii="仿宋" w:hAnsi="仿宋" w:eastAsia="仿宋" w:cs="仿宋_GB2312"/>
          <w:kern w:val="0"/>
          <w:sz w:val="24"/>
        </w:rPr>
        <w:t>（2）考生初试成绩需达到国家A类地区初试成绩基本要求。</w:t>
      </w:r>
    </w:p>
    <w:p w14:paraId="62FED06D">
      <w:pPr>
        <w:widowControl/>
        <w:spacing w:line="500" w:lineRule="exact"/>
        <w:ind w:firstLine="480"/>
        <w:rPr>
          <w:rFonts w:hint="eastAsia" w:ascii="仿宋" w:hAnsi="仿宋" w:eastAsia="仿宋" w:cs="仿宋_GB2312"/>
          <w:kern w:val="0"/>
          <w:sz w:val="24"/>
        </w:rPr>
      </w:pPr>
      <w:r>
        <w:rPr>
          <w:rFonts w:hint="eastAsia" w:ascii="仿宋" w:hAnsi="仿宋" w:eastAsia="仿宋" w:cs="仿宋_GB2312"/>
          <w:kern w:val="0"/>
          <w:sz w:val="24"/>
        </w:rPr>
        <w:t>（3）考生第一志愿报考专业与调剂专业应在同一学科门类范围内。</w:t>
      </w:r>
    </w:p>
    <w:p w14:paraId="7035F61A">
      <w:pPr>
        <w:widowControl/>
        <w:spacing w:line="500" w:lineRule="exact"/>
        <w:ind w:firstLine="480"/>
        <w:rPr>
          <w:rFonts w:hint="eastAsia" w:ascii="仿宋" w:hAnsi="仿宋" w:eastAsia="仿宋" w:cs="仿宋_GB2312"/>
          <w:kern w:val="0"/>
          <w:sz w:val="24"/>
        </w:rPr>
      </w:pPr>
      <w:r>
        <w:rPr>
          <w:rFonts w:hint="eastAsia" w:ascii="仿宋" w:hAnsi="仿宋" w:eastAsia="仿宋" w:cs="仿宋_GB2312"/>
          <w:kern w:val="0"/>
          <w:sz w:val="24"/>
        </w:rPr>
        <w:t>（4）考生初试科目与调剂专业初试科目相同或相近，其中初试全国统一命题科目应与调入专业全国统一命题科目相同。</w:t>
      </w:r>
    </w:p>
    <w:p w14:paraId="2D534E92">
      <w:pPr>
        <w:widowControl/>
        <w:spacing w:line="500" w:lineRule="exact"/>
        <w:jc w:val="left"/>
        <w:rPr>
          <w:rFonts w:hint="eastAsia" w:ascii="黑体" w:hAnsi="黑体" w:eastAsia="黑体" w:cs="黑体"/>
          <w:kern w:val="0"/>
          <w:sz w:val="28"/>
          <w:szCs w:val="28"/>
        </w:rPr>
      </w:pPr>
      <w:r>
        <w:rPr>
          <w:rFonts w:hint="eastAsia" w:ascii="黑体" w:hAnsi="黑体" w:eastAsia="黑体" w:cs="黑体"/>
          <w:kern w:val="0"/>
          <w:sz w:val="28"/>
          <w:szCs w:val="28"/>
        </w:rPr>
        <w:t>四、调剂流程</w:t>
      </w:r>
    </w:p>
    <w:p w14:paraId="0E35D283">
      <w:pPr>
        <w:pStyle w:val="5"/>
        <w:shd w:val="clear" w:color="auto" w:fill="FFFFFF"/>
        <w:spacing w:before="0" w:beforeAutospacing="0" w:after="0" w:afterAutospacing="0" w:line="500" w:lineRule="exact"/>
        <w:ind w:firstLine="480"/>
        <w:rPr>
          <w:rFonts w:hint="eastAsia" w:ascii="仿宋" w:hAnsi="仿宋" w:eastAsia="仿宋" w:cs="仿宋_GB2312"/>
        </w:rPr>
      </w:pPr>
      <w:r>
        <w:rPr>
          <w:rFonts w:hint="eastAsia" w:ascii="仿宋" w:hAnsi="仿宋" w:eastAsia="仿宋" w:cs="仿宋_GB2312"/>
        </w:rPr>
        <w:t>(一)学院发布调剂公告。在学校及学院网站公布调剂专业、调剂名额、调剂条件、调剂程序及联系方式等，并在教育部调剂系统设置调剂专业、名额及条件。</w:t>
      </w:r>
    </w:p>
    <w:p w14:paraId="7CD615B5">
      <w:pPr>
        <w:pStyle w:val="5"/>
        <w:shd w:val="clear" w:color="auto" w:fill="FFFFFF"/>
        <w:spacing w:before="0" w:beforeAutospacing="0" w:after="0" w:afterAutospacing="0" w:line="500" w:lineRule="exact"/>
        <w:ind w:firstLine="480"/>
        <w:rPr>
          <w:rFonts w:hint="eastAsia" w:ascii="仿宋" w:hAnsi="仿宋" w:eastAsia="仿宋" w:cs="仿宋_GB2312"/>
        </w:rPr>
      </w:pPr>
      <w:r>
        <w:rPr>
          <w:rFonts w:hint="eastAsia" w:ascii="仿宋" w:hAnsi="仿宋" w:eastAsia="仿宋" w:cs="仿宋_GB2312"/>
        </w:rPr>
        <w:t>(二)调剂系统开通后，考生填写调剂信息。符合调剂条件的考生在中国研究生招生信息网调剂系统（http://yz.chsi.com.cn/yztj/）中按要求填写调</w:t>
      </w:r>
      <w:r>
        <w:rPr>
          <w:rFonts w:hint="eastAsia" w:ascii="仿宋" w:hAnsi="仿宋" w:eastAsia="仿宋" w:cs="仿宋_GB2312"/>
          <w:shd w:val="clear" w:color="auto" w:fill="FFFFFF"/>
          <w:lang w:bidi="ar"/>
        </w:rPr>
        <w:t>剂</w:t>
      </w:r>
      <w:r>
        <w:rPr>
          <w:rFonts w:hint="eastAsia" w:ascii="仿宋" w:hAnsi="仿宋" w:eastAsia="仿宋" w:cs="仿宋_GB2312"/>
        </w:rPr>
        <w:t>志愿。调剂系统开放时间为2025年4月8日00:00-4月8日</w:t>
      </w:r>
      <w:r>
        <w:rPr>
          <w:rFonts w:hint="eastAsia" w:ascii="仿宋" w:hAnsi="仿宋" w:eastAsia="仿宋" w:cs="仿宋_GB2312"/>
          <w:lang w:val="en-US" w:eastAsia="zh-CN"/>
        </w:rPr>
        <w:t>14</w:t>
      </w:r>
      <w:r>
        <w:rPr>
          <w:rFonts w:hint="eastAsia" w:ascii="仿宋" w:hAnsi="仿宋" w:eastAsia="仿宋" w:cs="仿宋_GB2312"/>
        </w:rPr>
        <w:t>:00，考生须通过登录该系统填报调剂志愿进行调剂，否则调剂无效。</w:t>
      </w:r>
    </w:p>
    <w:p w14:paraId="46249479">
      <w:pPr>
        <w:pStyle w:val="5"/>
        <w:shd w:val="clear" w:color="auto" w:fill="FFFFFF"/>
        <w:spacing w:before="0" w:beforeAutospacing="0" w:after="0" w:afterAutospacing="0" w:line="500" w:lineRule="exact"/>
        <w:ind w:firstLine="480"/>
        <w:rPr>
          <w:rFonts w:hint="eastAsia" w:ascii="仿宋" w:hAnsi="仿宋" w:eastAsia="仿宋" w:cs="仿宋_GB2312"/>
        </w:rPr>
      </w:pPr>
      <w:r>
        <w:rPr>
          <w:rFonts w:hint="eastAsia" w:ascii="仿宋" w:hAnsi="仿宋" w:eastAsia="仿宋" w:cs="仿宋_GB2312"/>
        </w:rPr>
        <w:t>(三)学院审核调剂。按调剂条件挑选考生并确认考生调剂意愿，将同意调剂的合格考生添加到复试备选库。</w:t>
      </w:r>
    </w:p>
    <w:p w14:paraId="357E310E">
      <w:pPr>
        <w:pStyle w:val="5"/>
        <w:shd w:val="clear" w:color="auto" w:fill="FFFFFF"/>
        <w:spacing w:before="0" w:beforeAutospacing="0" w:after="0" w:afterAutospacing="0" w:line="500" w:lineRule="exact"/>
        <w:ind w:firstLine="480"/>
        <w:rPr>
          <w:rFonts w:hint="eastAsia" w:ascii="仿宋" w:hAnsi="仿宋" w:eastAsia="仿宋" w:cs="仿宋_GB2312"/>
        </w:rPr>
      </w:pPr>
      <w:r>
        <w:rPr>
          <w:rFonts w:hint="eastAsia" w:ascii="仿宋" w:hAnsi="仿宋" w:eastAsia="仿宋" w:cs="仿宋_GB2312"/>
        </w:rPr>
        <w:t>(四)发送复试通知。4月</w:t>
      </w:r>
      <w:r>
        <w:rPr>
          <w:rFonts w:hint="eastAsia" w:ascii="仿宋" w:hAnsi="仿宋" w:eastAsia="仿宋" w:cs="仿宋_GB2312"/>
          <w:lang w:val="en-US" w:eastAsia="zh-CN"/>
        </w:rPr>
        <w:t>8</w:t>
      </w:r>
      <w:r>
        <w:rPr>
          <w:rFonts w:hint="eastAsia" w:ascii="仿宋" w:hAnsi="仿宋" w:eastAsia="仿宋" w:cs="仿宋_GB2312"/>
        </w:rPr>
        <w:t>日</w:t>
      </w:r>
      <w:r>
        <w:rPr>
          <w:rFonts w:hint="eastAsia" w:ascii="仿宋" w:hAnsi="仿宋" w:eastAsia="仿宋" w:cs="仿宋_GB2312"/>
          <w:lang w:val="en-US" w:eastAsia="zh-CN"/>
        </w:rPr>
        <w:t>14:00</w:t>
      </w:r>
      <w:r>
        <w:rPr>
          <w:rFonts w:hint="eastAsia" w:ascii="仿宋" w:hAnsi="仿宋" w:eastAsia="仿宋" w:cs="仿宋_GB2312"/>
        </w:rPr>
        <w:t>点起，根据各专业缺额情况择优陆续发送复试通知，接到复试通知的调剂生务必在复试通知规定的时间内网上回复确认，逾期视为自动放弃复试资格。</w:t>
      </w:r>
    </w:p>
    <w:p w14:paraId="404033B3">
      <w:pPr>
        <w:pStyle w:val="5"/>
        <w:shd w:val="clear" w:color="auto" w:fill="FFFFFF"/>
        <w:spacing w:before="0" w:beforeAutospacing="0" w:after="0" w:afterAutospacing="0" w:line="500" w:lineRule="exact"/>
        <w:ind w:firstLine="480"/>
        <w:rPr>
          <w:rFonts w:hint="eastAsia" w:ascii="仿宋" w:hAnsi="仿宋" w:eastAsia="仿宋" w:cs="仿宋_GB2312"/>
        </w:rPr>
      </w:pPr>
      <w:r>
        <w:rPr>
          <w:rFonts w:hint="eastAsia" w:ascii="仿宋" w:hAnsi="仿宋" w:eastAsia="仿宋" w:cs="仿宋_GB2312"/>
        </w:rPr>
        <w:t>(五)</w:t>
      </w:r>
      <w:r>
        <w:rPr>
          <w:rFonts w:hint="eastAsia" w:ascii="仿宋" w:hAnsi="仿宋" w:eastAsia="仿宋" w:cs="仿宋_GB2312"/>
          <w:spacing w:val="-6"/>
        </w:rPr>
        <w:t>考生复试。考生按调剂复试通知要求进行复试，预计在4月</w:t>
      </w:r>
      <w:r>
        <w:rPr>
          <w:rFonts w:hint="eastAsia" w:ascii="仿宋" w:hAnsi="仿宋" w:eastAsia="仿宋" w:cs="仿宋_GB2312"/>
          <w:spacing w:val="-6"/>
          <w:lang w:val="en-US" w:eastAsia="zh-CN"/>
        </w:rPr>
        <w:t>12</w:t>
      </w:r>
      <w:r>
        <w:rPr>
          <w:rFonts w:hint="eastAsia" w:ascii="仿宋" w:hAnsi="仿宋" w:eastAsia="仿宋" w:cs="仿宋_GB2312"/>
          <w:spacing w:val="-6"/>
        </w:rPr>
        <w:t>日。</w:t>
      </w:r>
    </w:p>
    <w:p w14:paraId="4E723228">
      <w:pPr>
        <w:widowControl/>
        <w:spacing w:line="500" w:lineRule="exact"/>
        <w:jc w:val="left"/>
        <w:rPr>
          <w:rFonts w:hint="eastAsia" w:ascii="黑体" w:hAnsi="黑体" w:eastAsia="黑体" w:cs="黑体"/>
          <w:kern w:val="0"/>
          <w:sz w:val="28"/>
          <w:szCs w:val="28"/>
        </w:rPr>
      </w:pPr>
      <w:r>
        <w:rPr>
          <w:rFonts w:hint="eastAsia" w:ascii="黑体" w:hAnsi="黑体" w:eastAsia="黑体" w:cs="黑体"/>
          <w:kern w:val="0"/>
          <w:sz w:val="28"/>
          <w:szCs w:val="28"/>
        </w:rPr>
        <w:t>五、调剂复试内容及考核要求</w:t>
      </w:r>
    </w:p>
    <w:p w14:paraId="71F461CE">
      <w:pPr>
        <w:pStyle w:val="5"/>
        <w:shd w:val="clear" w:color="auto" w:fill="FFFFFF"/>
        <w:spacing w:before="0" w:beforeAutospacing="0" w:after="0" w:afterAutospacing="0"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(一)复试方式</w:t>
      </w:r>
    </w:p>
    <w:p w14:paraId="702CBBC4">
      <w:pPr>
        <w:pStyle w:val="5"/>
        <w:shd w:val="clear" w:color="auto" w:fill="FFFFFF"/>
        <w:spacing w:before="0" w:beforeAutospacing="0" w:after="0" w:afterAutospacing="0" w:line="500" w:lineRule="exact"/>
        <w:ind w:firstLine="480"/>
        <w:rPr>
          <w:rFonts w:hint="eastAsia" w:ascii="仿宋" w:hAnsi="仿宋" w:eastAsia="仿宋" w:cs="仿宋_GB2312"/>
        </w:rPr>
      </w:pPr>
      <w:r>
        <w:rPr>
          <w:rFonts w:hint="eastAsia" w:ascii="仿宋" w:hAnsi="仿宋" w:eastAsia="仿宋" w:cs="仿宋_GB2312"/>
        </w:rPr>
        <w:t>线下复试（现场复试）。</w:t>
      </w:r>
    </w:p>
    <w:p w14:paraId="00F82DAC">
      <w:pPr>
        <w:pStyle w:val="5"/>
        <w:shd w:val="clear" w:color="auto" w:fill="FFFFFF"/>
        <w:spacing w:before="0" w:beforeAutospacing="0" w:after="0" w:afterAutospacing="0"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(二)复试内容</w:t>
      </w:r>
    </w:p>
    <w:p w14:paraId="6FB21B4C">
      <w:pPr>
        <w:pStyle w:val="5"/>
        <w:widowControl w:val="0"/>
        <w:spacing w:before="0" w:beforeAutospacing="0" w:after="0" w:afterAutospacing="0"/>
        <w:jc w:val="both"/>
        <w:rPr>
          <w:rFonts w:hint="eastAsia" w:ascii="仿宋" w:hAnsi="仿宋" w:eastAsia="仿宋"/>
          <w:b/>
          <w:bCs/>
          <w:sz w:val="28"/>
          <w:szCs w:val="28"/>
        </w:rPr>
      </w:pPr>
      <w:r>
        <w:rPr>
          <w:rFonts w:hint="eastAsia" w:ascii="仿宋" w:hAnsi="仿宋" w:eastAsia="仿宋"/>
          <w:b/>
          <w:bCs/>
          <w:sz w:val="28"/>
          <w:szCs w:val="28"/>
        </w:rPr>
        <w:t>1.外语听力及口语测试（30分）</w:t>
      </w:r>
    </w:p>
    <w:p w14:paraId="1ECE2FD1">
      <w:pPr>
        <w:pStyle w:val="5"/>
        <w:shd w:val="clear" w:color="auto" w:fill="FFFFFF"/>
        <w:spacing w:before="0" w:beforeAutospacing="0" w:after="0" w:afterAutospacing="0" w:line="500" w:lineRule="exact"/>
        <w:ind w:firstLine="480"/>
        <w:rPr>
          <w:rFonts w:hint="eastAsia" w:ascii="仿宋" w:hAnsi="仿宋" w:eastAsia="仿宋" w:cs="仿宋_GB2312"/>
        </w:rPr>
      </w:pPr>
      <w:r>
        <w:rPr>
          <w:rFonts w:hint="eastAsia" w:ascii="仿宋" w:hAnsi="仿宋" w:eastAsia="仿宋" w:cs="仿宋_GB2312"/>
        </w:rPr>
        <w:t>所有专业考生均须进行外语听力及口语测试，分值为30分，该项成绩计入复试总成绩。</w:t>
      </w:r>
    </w:p>
    <w:p w14:paraId="670D2C7B">
      <w:pPr>
        <w:pStyle w:val="5"/>
        <w:shd w:val="clear" w:color="auto" w:fill="FFFFFF"/>
        <w:spacing w:before="0" w:beforeAutospacing="0" w:after="0" w:afterAutospacing="0" w:line="500" w:lineRule="exact"/>
        <w:ind w:firstLine="480"/>
        <w:rPr>
          <w:rFonts w:hint="eastAsia" w:ascii="仿宋" w:hAnsi="仿宋" w:eastAsia="仿宋" w:cs="仿宋_GB2312"/>
        </w:rPr>
      </w:pPr>
      <w:r>
        <w:rPr>
          <w:rFonts w:hint="eastAsia" w:ascii="仿宋" w:hAnsi="仿宋" w:eastAsia="仿宋" w:cs="仿宋_GB2312"/>
        </w:rPr>
        <w:t>外语听力及口语测试主要测试考生的英语阅读能力、听力理解能力以及运用英语知识与技能进行口头交际的能力。形式主要为英文文献阅读及英文对话，现场抽题、考生朗读并进行英文对话。</w:t>
      </w:r>
    </w:p>
    <w:p w14:paraId="7F70566D">
      <w:pPr>
        <w:pStyle w:val="5"/>
        <w:widowControl w:val="0"/>
        <w:spacing w:before="0" w:beforeAutospacing="0" w:after="0" w:afterAutospacing="0"/>
        <w:jc w:val="both"/>
        <w:rPr>
          <w:rFonts w:hint="eastAsia" w:ascii="仿宋" w:hAnsi="仿宋" w:eastAsia="仿宋"/>
          <w:b/>
          <w:bCs/>
          <w:sz w:val="28"/>
          <w:szCs w:val="28"/>
        </w:rPr>
      </w:pPr>
      <w:r>
        <w:rPr>
          <w:rFonts w:hint="eastAsia" w:ascii="仿宋" w:hAnsi="仿宋" w:eastAsia="仿宋"/>
          <w:b/>
          <w:bCs/>
          <w:sz w:val="28"/>
          <w:szCs w:val="28"/>
        </w:rPr>
        <w:t>2.专业笔试（120分）</w:t>
      </w:r>
    </w:p>
    <w:p w14:paraId="403E9F7D">
      <w:pPr>
        <w:pStyle w:val="5"/>
        <w:shd w:val="clear" w:color="auto" w:fill="FFFFFF"/>
        <w:spacing w:before="0" w:beforeAutospacing="0" w:after="0" w:afterAutospacing="0" w:line="500" w:lineRule="exact"/>
        <w:ind w:firstLine="480"/>
        <w:rPr>
          <w:rFonts w:hint="eastAsia" w:ascii="仿宋" w:hAnsi="仿宋" w:eastAsia="仿宋" w:cs="仿宋_GB2312"/>
        </w:rPr>
      </w:pPr>
      <w:r>
        <w:rPr>
          <w:rFonts w:hint="eastAsia" w:ascii="仿宋" w:hAnsi="仿宋" w:eastAsia="仿宋" w:cs="仿宋_GB2312"/>
        </w:rPr>
        <w:t>宏观微观经济学（卷面分120分），参考书目：高鸿业.《经济学原理》（第三版）[M].中国人民大学出版社.2019.10。着重考核考生对专业基础理论、基本知识掌握的深度和广度。闭卷考试，考试时间为120分钟。可以带无储存功能的计算器。该项成绩计入复试总成绩。</w:t>
      </w:r>
    </w:p>
    <w:p w14:paraId="5F9B028C">
      <w:pPr>
        <w:rPr>
          <w:rFonts w:hint="eastAsia" w:ascii="仿宋" w:hAnsi="仿宋" w:eastAsia="仿宋"/>
          <w:b/>
          <w:bCs/>
          <w:sz w:val="28"/>
          <w:szCs w:val="28"/>
        </w:rPr>
      </w:pPr>
      <w:r>
        <w:rPr>
          <w:rFonts w:hint="eastAsia" w:ascii="仿宋" w:hAnsi="仿宋" w:eastAsia="仿宋"/>
          <w:b/>
          <w:bCs/>
          <w:sz w:val="28"/>
          <w:szCs w:val="28"/>
        </w:rPr>
        <w:t>3.综合素质面试（100分）</w:t>
      </w:r>
    </w:p>
    <w:p w14:paraId="02222CCE">
      <w:pPr>
        <w:pStyle w:val="5"/>
        <w:shd w:val="clear" w:color="auto" w:fill="FFFFFF"/>
        <w:spacing w:before="0" w:beforeAutospacing="0" w:after="0" w:afterAutospacing="0" w:line="500" w:lineRule="exact"/>
        <w:ind w:firstLine="480"/>
        <w:rPr>
          <w:rFonts w:hint="eastAsia" w:ascii="仿宋" w:hAnsi="仿宋" w:eastAsia="仿宋" w:cs="仿宋_GB2312"/>
        </w:rPr>
      </w:pPr>
      <w:r>
        <w:rPr>
          <w:rFonts w:hint="eastAsia" w:ascii="仿宋" w:hAnsi="仿宋" w:eastAsia="仿宋" w:cs="仿宋_GB2312"/>
        </w:rPr>
        <w:t>面试主要考核考生的专业基础知识、创新意识与能力、心理健康状况及综合素质等。面试采取抽取题签回答问题的形式，如面试教师认为有必要，可补充提问。该项成绩计入复试总成绩。每位考生面试时间一般不少于20分钟，考生明确表示已作答完毕的可提前结束考核。</w:t>
      </w:r>
    </w:p>
    <w:p w14:paraId="2614D59E">
      <w:pPr>
        <w:rPr>
          <w:rFonts w:hint="eastAsia" w:ascii="仿宋" w:hAnsi="仿宋" w:eastAsia="仿宋"/>
          <w:b/>
          <w:bCs/>
          <w:sz w:val="28"/>
          <w:szCs w:val="28"/>
        </w:rPr>
      </w:pPr>
      <w:r>
        <w:rPr>
          <w:rFonts w:hint="eastAsia" w:ascii="仿宋" w:hAnsi="仿宋" w:eastAsia="仿宋"/>
          <w:b/>
          <w:bCs/>
          <w:sz w:val="28"/>
          <w:szCs w:val="28"/>
        </w:rPr>
        <w:t>4.同等学力加试</w:t>
      </w:r>
    </w:p>
    <w:p w14:paraId="5A3C2AF7">
      <w:pPr>
        <w:pStyle w:val="5"/>
        <w:shd w:val="clear" w:color="auto" w:fill="FFFFFF"/>
        <w:spacing w:before="0" w:beforeAutospacing="0" w:after="0" w:afterAutospacing="0" w:line="500" w:lineRule="exact"/>
        <w:ind w:firstLine="480"/>
        <w:rPr>
          <w:rFonts w:hint="eastAsia" w:ascii="仿宋" w:hAnsi="仿宋" w:eastAsia="仿宋" w:cs="仿宋_GB2312"/>
        </w:rPr>
      </w:pPr>
      <w:r>
        <w:rPr>
          <w:rFonts w:hint="eastAsia" w:ascii="仿宋" w:hAnsi="仿宋" w:eastAsia="仿宋" w:cs="仿宋_GB2312"/>
        </w:rPr>
        <w:t>以同等学力参加复试的考生，在复试中须加试两门与报考专业相关的本科主干课程。加试方式为笔试，加试科目不得与初试科目相同。同等学力加试科目每门分值为100分，加试成绩60分为合格，不合格者不予录取。加试成绩不计入复试总成绩。</w:t>
      </w:r>
    </w:p>
    <w:p w14:paraId="65E1E70B">
      <w:pPr>
        <w:widowControl/>
        <w:spacing w:line="560" w:lineRule="exact"/>
        <w:jc w:val="left"/>
        <w:rPr>
          <w:rFonts w:hint="eastAsia" w:ascii="黑体" w:hAnsi="黑体" w:eastAsia="黑体" w:cs="黑体"/>
          <w:kern w:val="0"/>
          <w:sz w:val="28"/>
          <w:szCs w:val="28"/>
        </w:rPr>
      </w:pPr>
      <w:r>
        <w:rPr>
          <w:rFonts w:hint="eastAsia" w:ascii="黑体" w:hAnsi="黑体" w:eastAsia="黑体" w:cs="黑体"/>
          <w:kern w:val="0"/>
          <w:sz w:val="28"/>
          <w:szCs w:val="28"/>
        </w:rPr>
        <w:t>六、复试日程安排</w:t>
      </w:r>
    </w:p>
    <w:tbl>
      <w:tblPr>
        <w:tblStyle w:val="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15"/>
        <w:gridCol w:w="1993"/>
        <w:gridCol w:w="1435"/>
        <w:gridCol w:w="2147"/>
      </w:tblGrid>
      <w:tr w14:paraId="5B56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7" w:type="dxa"/>
            <w:vAlign w:val="center"/>
          </w:tcPr>
          <w:p w14:paraId="4806B827">
            <w:pPr>
              <w:spacing w:line="520" w:lineRule="exact"/>
              <w:jc w:val="center"/>
              <w:rPr>
                <w:rFonts w:hint="eastAsia" w:ascii="仿宋" w:hAnsi="仿宋" w:eastAsia="仿宋" w:cs="仿宋_GB2312"/>
                <w:b/>
                <w:bCs/>
                <w:sz w:val="24"/>
              </w:rPr>
            </w:pPr>
            <w:r>
              <w:rPr>
                <w:rFonts w:hint="eastAsia" w:ascii="仿宋" w:hAnsi="仿宋" w:eastAsia="仿宋" w:cs="仿宋_GB2312"/>
                <w:b/>
                <w:bCs/>
                <w:sz w:val="24"/>
              </w:rPr>
              <w:t>序号</w:t>
            </w:r>
          </w:p>
        </w:tc>
        <w:tc>
          <w:tcPr>
            <w:tcW w:w="2115" w:type="dxa"/>
            <w:vAlign w:val="center"/>
          </w:tcPr>
          <w:p w14:paraId="54E36137">
            <w:pPr>
              <w:spacing w:line="520" w:lineRule="exact"/>
              <w:jc w:val="center"/>
              <w:rPr>
                <w:rFonts w:hint="eastAsia" w:ascii="仿宋" w:hAnsi="仿宋" w:eastAsia="仿宋" w:cs="仿宋_GB2312"/>
                <w:b/>
                <w:bCs/>
                <w:sz w:val="24"/>
              </w:rPr>
            </w:pPr>
            <w:r>
              <w:rPr>
                <w:rFonts w:hint="eastAsia" w:ascii="仿宋" w:hAnsi="仿宋" w:eastAsia="仿宋" w:cs="仿宋_GB2312"/>
                <w:b/>
                <w:bCs/>
                <w:sz w:val="24"/>
              </w:rPr>
              <w:t>项目</w:t>
            </w:r>
          </w:p>
        </w:tc>
        <w:tc>
          <w:tcPr>
            <w:tcW w:w="1993" w:type="dxa"/>
            <w:vAlign w:val="center"/>
          </w:tcPr>
          <w:p w14:paraId="6E9B7DDB">
            <w:pPr>
              <w:spacing w:line="520" w:lineRule="exact"/>
              <w:jc w:val="center"/>
              <w:rPr>
                <w:rFonts w:hint="eastAsia" w:ascii="仿宋" w:hAnsi="仿宋" w:eastAsia="仿宋" w:cs="仿宋_GB2312"/>
                <w:b/>
                <w:bCs/>
                <w:sz w:val="24"/>
              </w:rPr>
            </w:pPr>
            <w:r>
              <w:rPr>
                <w:rFonts w:hint="eastAsia" w:ascii="仿宋" w:hAnsi="仿宋" w:eastAsia="仿宋" w:cs="仿宋_GB2312"/>
                <w:b/>
                <w:bCs/>
                <w:sz w:val="24"/>
              </w:rPr>
              <w:t>时间</w:t>
            </w:r>
          </w:p>
        </w:tc>
        <w:tc>
          <w:tcPr>
            <w:tcW w:w="1435" w:type="dxa"/>
            <w:vAlign w:val="center"/>
          </w:tcPr>
          <w:p w14:paraId="73E7A3FC">
            <w:pPr>
              <w:spacing w:line="520" w:lineRule="exact"/>
              <w:jc w:val="center"/>
              <w:rPr>
                <w:rFonts w:hint="eastAsia" w:ascii="仿宋" w:hAnsi="仿宋" w:eastAsia="仿宋" w:cs="仿宋_GB2312"/>
                <w:b/>
                <w:bCs/>
                <w:sz w:val="24"/>
              </w:rPr>
            </w:pPr>
            <w:r>
              <w:rPr>
                <w:rFonts w:hint="eastAsia" w:ascii="仿宋" w:hAnsi="仿宋" w:eastAsia="仿宋" w:cs="仿宋_GB2312"/>
                <w:b/>
                <w:bCs/>
                <w:sz w:val="24"/>
              </w:rPr>
              <w:t>地点</w:t>
            </w:r>
          </w:p>
        </w:tc>
        <w:tc>
          <w:tcPr>
            <w:tcW w:w="2147" w:type="dxa"/>
            <w:vAlign w:val="center"/>
          </w:tcPr>
          <w:p w14:paraId="08C5370D">
            <w:pPr>
              <w:spacing w:line="520" w:lineRule="exact"/>
              <w:jc w:val="center"/>
              <w:rPr>
                <w:rFonts w:hint="eastAsia" w:ascii="仿宋" w:hAnsi="仿宋" w:eastAsia="仿宋" w:cs="仿宋_GB2312"/>
                <w:b/>
                <w:bCs/>
                <w:sz w:val="24"/>
              </w:rPr>
            </w:pPr>
            <w:r>
              <w:rPr>
                <w:rFonts w:hint="eastAsia" w:ascii="仿宋" w:hAnsi="仿宋" w:eastAsia="仿宋" w:cs="仿宋_GB2312"/>
                <w:b/>
                <w:bCs/>
                <w:sz w:val="24"/>
              </w:rPr>
              <w:t>备注</w:t>
            </w:r>
          </w:p>
        </w:tc>
      </w:tr>
      <w:tr w14:paraId="3296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827" w:type="dxa"/>
            <w:vAlign w:val="center"/>
          </w:tcPr>
          <w:p w14:paraId="30DFB29C">
            <w:pPr>
              <w:spacing w:line="520" w:lineRule="exact"/>
              <w:jc w:val="center"/>
              <w:rPr>
                <w:rFonts w:hint="eastAsia" w:ascii="仿宋" w:hAnsi="仿宋" w:eastAsia="仿宋" w:cs="仿宋_GB2312"/>
                <w:sz w:val="24"/>
              </w:rPr>
            </w:pPr>
            <w:r>
              <w:rPr>
                <w:rFonts w:hint="eastAsia" w:ascii="仿宋" w:hAnsi="仿宋" w:eastAsia="仿宋" w:cs="仿宋_GB2312"/>
                <w:sz w:val="24"/>
              </w:rPr>
              <w:t>1</w:t>
            </w:r>
          </w:p>
        </w:tc>
        <w:tc>
          <w:tcPr>
            <w:tcW w:w="2115" w:type="dxa"/>
            <w:vAlign w:val="center"/>
          </w:tcPr>
          <w:p w14:paraId="346559D5">
            <w:pPr>
              <w:spacing w:line="520" w:lineRule="exact"/>
              <w:jc w:val="center"/>
              <w:rPr>
                <w:rFonts w:hint="eastAsia" w:ascii="仿宋" w:hAnsi="仿宋" w:eastAsia="仿宋" w:cs="仿宋_GB2312"/>
                <w:sz w:val="24"/>
              </w:rPr>
            </w:pPr>
            <w:r>
              <w:rPr>
                <w:rFonts w:hint="eastAsia" w:ascii="仿宋" w:hAnsi="仿宋" w:eastAsia="仿宋" w:cs="仿宋_GB2312"/>
                <w:sz w:val="24"/>
              </w:rPr>
              <w:t>报到、资格审查</w:t>
            </w:r>
          </w:p>
        </w:tc>
        <w:tc>
          <w:tcPr>
            <w:tcW w:w="1993" w:type="dxa"/>
            <w:vAlign w:val="center"/>
          </w:tcPr>
          <w:p w14:paraId="592F03D9">
            <w:pPr>
              <w:spacing w:line="520" w:lineRule="exact"/>
              <w:jc w:val="center"/>
              <w:rPr>
                <w:rFonts w:hint="eastAsia" w:ascii="仿宋" w:hAnsi="仿宋" w:eastAsia="仿宋" w:cs="仿宋_GB2312"/>
                <w:sz w:val="24"/>
              </w:rPr>
            </w:pPr>
            <w:r>
              <w:rPr>
                <w:rFonts w:hint="eastAsia" w:ascii="仿宋" w:hAnsi="仿宋" w:eastAsia="仿宋" w:cs="仿宋_GB2312"/>
                <w:sz w:val="24"/>
              </w:rPr>
              <w:t>4月</w:t>
            </w:r>
            <w:r>
              <w:rPr>
                <w:rFonts w:hint="eastAsia" w:ascii="仿宋" w:hAnsi="仿宋" w:eastAsia="仿宋" w:cs="仿宋_GB2312"/>
                <w:sz w:val="24"/>
                <w:lang w:val="en-US" w:eastAsia="zh-CN"/>
              </w:rPr>
              <w:t>12</w:t>
            </w:r>
            <w:r>
              <w:rPr>
                <w:rFonts w:hint="eastAsia" w:ascii="仿宋" w:hAnsi="仿宋" w:eastAsia="仿宋" w:cs="仿宋_GB2312"/>
                <w:sz w:val="24"/>
              </w:rPr>
              <w:t>日</w:t>
            </w:r>
          </w:p>
          <w:p w14:paraId="35173242">
            <w:pPr>
              <w:spacing w:line="520" w:lineRule="exact"/>
              <w:jc w:val="center"/>
              <w:rPr>
                <w:rFonts w:hint="default" w:ascii="仿宋" w:hAnsi="仿宋" w:eastAsia="仿宋" w:cs="仿宋_GB2312"/>
                <w:sz w:val="24"/>
                <w:lang w:val="en-US" w:eastAsia="zh-CN"/>
              </w:rPr>
            </w:pPr>
            <w:r>
              <w:rPr>
                <w:rFonts w:hint="eastAsia" w:ascii="仿宋" w:hAnsi="仿宋" w:eastAsia="仿宋" w:cs="仿宋_GB2312"/>
                <w:sz w:val="24"/>
              </w:rPr>
              <w:t>上午</w:t>
            </w:r>
            <w:r>
              <w:rPr>
                <w:rFonts w:hint="eastAsia" w:ascii="仿宋" w:hAnsi="仿宋" w:eastAsia="仿宋" w:cs="仿宋_GB2312"/>
                <w:sz w:val="24"/>
                <w:lang w:val="en-US" w:eastAsia="zh-CN"/>
              </w:rPr>
              <w:t>8:00开始</w:t>
            </w:r>
          </w:p>
        </w:tc>
        <w:tc>
          <w:tcPr>
            <w:tcW w:w="1435" w:type="dxa"/>
            <w:vAlign w:val="center"/>
          </w:tcPr>
          <w:p w14:paraId="7862E5C6">
            <w:pPr>
              <w:spacing w:line="520" w:lineRule="exact"/>
              <w:jc w:val="center"/>
              <w:rPr>
                <w:rFonts w:hint="eastAsia" w:ascii="仿宋" w:hAnsi="仿宋" w:eastAsia="仿宋" w:cs="仿宋_GB2312"/>
                <w:sz w:val="24"/>
              </w:rPr>
            </w:pPr>
            <w:r>
              <w:rPr>
                <w:rFonts w:hint="eastAsia" w:ascii="仿宋" w:hAnsi="仿宋" w:eastAsia="仿宋" w:cs="仿宋_GB2312"/>
                <w:sz w:val="24"/>
                <w:lang w:val="en-US" w:eastAsia="zh-CN"/>
              </w:rPr>
              <w:t>惟义楼四区</w:t>
            </w:r>
            <w:r>
              <w:rPr>
                <w:rFonts w:hint="eastAsia" w:ascii="仿宋" w:hAnsi="仿宋" w:eastAsia="仿宋"/>
                <w:sz w:val="24"/>
                <w:szCs w:val="24"/>
              </w:rPr>
              <w:t>具体再安排</w:t>
            </w:r>
          </w:p>
        </w:tc>
        <w:tc>
          <w:tcPr>
            <w:tcW w:w="2147" w:type="dxa"/>
            <w:vAlign w:val="center"/>
          </w:tcPr>
          <w:p w14:paraId="0506C3C8">
            <w:pPr>
              <w:spacing w:line="520" w:lineRule="exact"/>
              <w:jc w:val="center"/>
              <w:rPr>
                <w:rFonts w:hint="eastAsia" w:ascii="仿宋" w:hAnsi="仿宋" w:eastAsia="仿宋" w:cs="仿宋_GB2312"/>
                <w:sz w:val="24"/>
              </w:rPr>
            </w:pPr>
            <w:r>
              <w:rPr>
                <w:rFonts w:hint="eastAsia" w:ascii="仿宋" w:hAnsi="仿宋" w:eastAsia="仿宋" w:cs="仿宋_GB2312"/>
                <w:sz w:val="24"/>
              </w:rPr>
              <w:t>须携带身份证及复印件、学历（学籍）在线验证报告打印件、政审表</w:t>
            </w:r>
          </w:p>
        </w:tc>
      </w:tr>
      <w:tr w14:paraId="26C9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827" w:type="dxa"/>
            <w:vAlign w:val="center"/>
          </w:tcPr>
          <w:p w14:paraId="4A6563F3">
            <w:pPr>
              <w:spacing w:line="520" w:lineRule="exact"/>
              <w:jc w:val="center"/>
              <w:rPr>
                <w:rFonts w:hint="eastAsia" w:ascii="仿宋" w:hAnsi="仿宋" w:eastAsia="仿宋" w:cs="仿宋_GB2312"/>
                <w:sz w:val="24"/>
              </w:rPr>
            </w:pPr>
            <w:r>
              <w:rPr>
                <w:rFonts w:hint="eastAsia" w:ascii="仿宋" w:hAnsi="仿宋" w:eastAsia="仿宋" w:cs="仿宋_GB2312"/>
                <w:sz w:val="24"/>
              </w:rPr>
              <w:t>2</w:t>
            </w:r>
          </w:p>
        </w:tc>
        <w:tc>
          <w:tcPr>
            <w:tcW w:w="2115" w:type="dxa"/>
            <w:vAlign w:val="center"/>
          </w:tcPr>
          <w:p w14:paraId="3CD9D0F1">
            <w:pPr>
              <w:spacing w:line="520" w:lineRule="exact"/>
              <w:jc w:val="center"/>
              <w:rPr>
                <w:rFonts w:hint="eastAsia" w:ascii="仿宋" w:hAnsi="仿宋" w:eastAsia="仿宋" w:cs="仿宋_GB2312"/>
                <w:sz w:val="24"/>
              </w:rPr>
            </w:pPr>
            <w:r>
              <w:rPr>
                <w:rFonts w:hint="eastAsia" w:ascii="仿宋" w:hAnsi="仿宋" w:eastAsia="仿宋" w:cs="仿宋_GB2312"/>
                <w:sz w:val="24"/>
              </w:rPr>
              <w:t>专业测试</w:t>
            </w:r>
          </w:p>
        </w:tc>
        <w:tc>
          <w:tcPr>
            <w:tcW w:w="1993" w:type="dxa"/>
            <w:vAlign w:val="center"/>
          </w:tcPr>
          <w:p w14:paraId="38B4ADC6">
            <w:pPr>
              <w:spacing w:line="520" w:lineRule="exact"/>
              <w:jc w:val="center"/>
              <w:rPr>
                <w:rFonts w:hint="eastAsia" w:ascii="仿宋" w:hAnsi="仿宋" w:eastAsia="仿宋" w:cs="仿宋_GB2312"/>
                <w:sz w:val="24"/>
                <w:lang w:val="en-US" w:eastAsia="zh-CN"/>
              </w:rPr>
            </w:pPr>
            <w:r>
              <w:rPr>
                <w:rFonts w:hint="eastAsia" w:ascii="仿宋" w:hAnsi="仿宋" w:eastAsia="仿宋" w:cs="仿宋_GB2312"/>
                <w:sz w:val="24"/>
              </w:rPr>
              <w:t>4月</w:t>
            </w:r>
            <w:r>
              <w:rPr>
                <w:rFonts w:hint="eastAsia" w:ascii="仿宋" w:hAnsi="仿宋" w:eastAsia="仿宋" w:cs="仿宋_GB2312"/>
                <w:sz w:val="24"/>
                <w:lang w:val="en-US" w:eastAsia="zh-CN"/>
              </w:rPr>
              <w:t>12</w:t>
            </w:r>
            <w:r>
              <w:rPr>
                <w:rFonts w:hint="eastAsia" w:ascii="仿宋" w:hAnsi="仿宋" w:eastAsia="仿宋" w:cs="仿宋_GB2312"/>
                <w:sz w:val="24"/>
              </w:rPr>
              <w:t>日</w:t>
            </w:r>
            <w:r>
              <w:rPr>
                <w:rFonts w:hint="eastAsia" w:ascii="仿宋" w:hAnsi="仿宋" w:eastAsia="仿宋" w:cs="仿宋_GB2312"/>
                <w:sz w:val="24"/>
                <w:lang w:val="en-US" w:eastAsia="zh-CN"/>
              </w:rPr>
              <w:t>上</w:t>
            </w:r>
            <w:r>
              <w:rPr>
                <w:rFonts w:hint="eastAsia" w:ascii="仿宋" w:hAnsi="仿宋" w:eastAsia="仿宋" w:cs="仿宋_GB2312"/>
                <w:sz w:val="24"/>
              </w:rPr>
              <w:t>午</w:t>
            </w:r>
            <w:r>
              <w:rPr>
                <w:rFonts w:hint="eastAsia" w:ascii="仿宋" w:hAnsi="仿宋" w:eastAsia="仿宋" w:cs="仿宋_GB2312"/>
                <w:sz w:val="24"/>
                <w:lang w:val="en-US" w:eastAsia="zh-CN"/>
              </w:rPr>
              <w:t xml:space="preserve"> </w:t>
            </w:r>
            <w:r>
              <w:rPr>
                <w:rFonts w:hint="eastAsia" w:ascii="仿宋" w:hAnsi="仿宋" w:eastAsia="仿宋"/>
                <w:sz w:val="24"/>
                <w:szCs w:val="24"/>
              </w:rPr>
              <w:t>9:00-11:00</w:t>
            </w:r>
          </w:p>
        </w:tc>
        <w:tc>
          <w:tcPr>
            <w:tcW w:w="1435" w:type="dxa"/>
            <w:vAlign w:val="center"/>
          </w:tcPr>
          <w:p w14:paraId="011415F5">
            <w:pPr>
              <w:spacing w:line="520" w:lineRule="exact"/>
              <w:jc w:val="center"/>
              <w:rPr>
                <w:rFonts w:hint="eastAsia" w:ascii="仿宋" w:hAnsi="仿宋" w:eastAsia="仿宋" w:cs="仿宋_GB2312"/>
                <w:sz w:val="24"/>
              </w:rPr>
            </w:pPr>
            <w:r>
              <w:rPr>
                <w:rFonts w:hint="eastAsia" w:ascii="仿宋" w:hAnsi="仿宋" w:eastAsia="仿宋" w:cs="仿宋_GB2312"/>
                <w:sz w:val="24"/>
                <w:lang w:val="en-US" w:eastAsia="zh-CN"/>
              </w:rPr>
              <w:t>惟义楼四区</w:t>
            </w:r>
            <w:r>
              <w:rPr>
                <w:rFonts w:hint="eastAsia" w:ascii="仿宋" w:hAnsi="仿宋" w:eastAsia="仿宋"/>
                <w:sz w:val="24"/>
                <w:szCs w:val="24"/>
              </w:rPr>
              <w:t>具体再安排</w:t>
            </w:r>
          </w:p>
        </w:tc>
        <w:tc>
          <w:tcPr>
            <w:tcW w:w="2147" w:type="dxa"/>
            <w:vAlign w:val="center"/>
          </w:tcPr>
          <w:p w14:paraId="2DD9F29B">
            <w:pPr>
              <w:spacing w:line="520" w:lineRule="exact"/>
              <w:jc w:val="center"/>
              <w:rPr>
                <w:rFonts w:hint="eastAsia" w:ascii="仿宋" w:hAnsi="仿宋" w:eastAsia="仿宋" w:cs="仿宋_GB2312"/>
                <w:sz w:val="24"/>
              </w:rPr>
            </w:pPr>
            <w:r>
              <w:rPr>
                <w:rFonts w:hint="eastAsia" w:ascii="仿宋" w:hAnsi="仿宋" w:eastAsia="仿宋" w:cs="仿宋_GB2312"/>
                <w:sz w:val="24"/>
              </w:rPr>
              <w:t>身份证</w:t>
            </w:r>
          </w:p>
        </w:tc>
      </w:tr>
      <w:tr w14:paraId="4E86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7" w:type="dxa"/>
            <w:vAlign w:val="center"/>
          </w:tcPr>
          <w:p w14:paraId="4807DD11">
            <w:pPr>
              <w:spacing w:line="520" w:lineRule="exact"/>
              <w:jc w:val="center"/>
              <w:rPr>
                <w:rFonts w:hint="eastAsia" w:ascii="仿宋" w:hAnsi="仿宋" w:eastAsia="仿宋" w:cs="仿宋_GB2312"/>
                <w:sz w:val="24"/>
              </w:rPr>
            </w:pPr>
            <w:r>
              <w:rPr>
                <w:rFonts w:hint="eastAsia" w:ascii="仿宋" w:hAnsi="仿宋" w:eastAsia="仿宋" w:cs="仿宋_GB2312"/>
                <w:sz w:val="24"/>
              </w:rPr>
              <w:t>3</w:t>
            </w:r>
          </w:p>
        </w:tc>
        <w:tc>
          <w:tcPr>
            <w:tcW w:w="2115" w:type="dxa"/>
            <w:vAlign w:val="center"/>
          </w:tcPr>
          <w:p w14:paraId="608A9120">
            <w:pPr>
              <w:spacing w:line="520" w:lineRule="exact"/>
              <w:jc w:val="center"/>
              <w:rPr>
                <w:rFonts w:hint="eastAsia" w:ascii="仿宋" w:hAnsi="仿宋" w:eastAsia="仿宋" w:cs="仿宋_GB2312"/>
                <w:sz w:val="24"/>
              </w:rPr>
            </w:pPr>
            <w:r>
              <w:rPr>
                <w:rFonts w:hint="eastAsia" w:ascii="仿宋" w:hAnsi="仿宋" w:eastAsia="仿宋" w:cs="仿宋_GB2312"/>
                <w:sz w:val="24"/>
              </w:rPr>
              <w:t>外语口语听力</w:t>
            </w:r>
            <w:r>
              <w:rPr>
                <w:rFonts w:hint="eastAsia" w:ascii="仿宋" w:hAnsi="仿宋" w:eastAsia="仿宋" w:cs="仿宋_GB2312"/>
                <w:sz w:val="24"/>
                <w:lang w:eastAsia="zh-CN"/>
              </w:rPr>
              <w:t>、</w:t>
            </w:r>
            <w:r>
              <w:rPr>
                <w:rFonts w:hint="eastAsia" w:ascii="仿宋" w:hAnsi="仿宋" w:eastAsia="仿宋" w:cs="仿宋_GB2312"/>
                <w:sz w:val="24"/>
              </w:rPr>
              <w:t>综合素质面试</w:t>
            </w:r>
          </w:p>
        </w:tc>
        <w:tc>
          <w:tcPr>
            <w:tcW w:w="1993" w:type="dxa"/>
            <w:vAlign w:val="center"/>
          </w:tcPr>
          <w:p w14:paraId="581F6F6A">
            <w:pPr>
              <w:spacing w:line="520" w:lineRule="exact"/>
              <w:jc w:val="center"/>
              <w:rPr>
                <w:rFonts w:hint="default" w:ascii="仿宋" w:hAnsi="仿宋" w:eastAsia="仿宋" w:cs="仿宋_GB2312"/>
                <w:sz w:val="24"/>
                <w:lang w:val="en-US" w:eastAsia="zh-CN"/>
              </w:rPr>
            </w:pPr>
            <w:r>
              <w:rPr>
                <w:rFonts w:hint="eastAsia" w:ascii="仿宋" w:hAnsi="仿宋" w:eastAsia="仿宋" w:cs="仿宋_GB2312"/>
                <w:sz w:val="24"/>
              </w:rPr>
              <w:t>4月</w:t>
            </w:r>
            <w:r>
              <w:rPr>
                <w:rFonts w:hint="eastAsia" w:ascii="仿宋" w:hAnsi="仿宋" w:eastAsia="仿宋" w:cs="仿宋_GB2312"/>
                <w:sz w:val="24"/>
                <w:lang w:val="en-US" w:eastAsia="zh-CN"/>
              </w:rPr>
              <w:t>12</w:t>
            </w:r>
            <w:r>
              <w:rPr>
                <w:rFonts w:hint="eastAsia" w:ascii="仿宋" w:hAnsi="仿宋" w:eastAsia="仿宋" w:cs="仿宋_GB2312"/>
                <w:sz w:val="24"/>
              </w:rPr>
              <w:t>日</w:t>
            </w:r>
            <w:r>
              <w:rPr>
                <w:rFonts w:hint="eastAsia" w:ascii="仿宋" w:hAnsi="仿宋" w:eastAsia="仿宋" w:cs="仿宋_GB2312"/>
                <w:sz w:val="24"/>
                <w:lang w:val="en-US" w:eastAsia="zh-CN"/>
              </w:rPr>
              <w:t>下</w:t>
            </w:r>
            <w:r>
              <w:rPr>
                <w:rFonts w:hint="eastAsia" w:ascii="仿宋" w:hAnsi="仿宋" w:eastAsia="仿宋" w:cs="仿宋_GB2312"/>
                <w:sz w:val="24"/>
              </w:rPr>
              <w:t>午</w:t>
            </w:r>
            <w:r>
              <w:rPr>
                <w:rFonts w:hint="eastAsia" w:ascii="仿宋" w:hAnsi="仿宋" w:eastAsia="仿宋" w:cs="仿宋_GB2312"/>
                <w:sz w:val="24"/>
                <w:lang w:val="en-US" w:eastAsia="zh-CN"/>
              </w:rPr>
              <w:t>2:00开始</w:t>
            </w:r>
          </w:p>
        </w:tc>
        <w:tc>
          <w:tcPr>
            <w:tcW w:w="1435" w:type="dxa"/>
            <w:vAlign w:val="center"/>
          </w:tcPr>
          <w:p w14:paraId="05209318">
            <w:pPr>
              <w:spacing w:line="520" w:lineRule="exact"/>
              <w:jc w:val="center"/>
              <w:rPr>
                <w:rFonts w:hint="eastAsia" w:ascii="仿宋" w:hAnsi="仿宋" w:eastAsia="仿宋" w:cs="仿宋_GB2312"/>
                <w:sz w:val="24"/>
              </w:rPr>
            </w:pPr>
            <w:r>
              <w:rPr>
                <w:rFonts w:hint="eastAsia" w:ascii="仿宋" w:hAnsi="仿宋" w:eastAsia="仿宋" w:cs="仿宋_GB2312"/>
                <w:sz w:val="24"/>
                <w:lang w:val="en-US" w:eastAsia="zh-CN"/>
              </w:rPr>
              <w:t>惟义楼四区</w:t>
            </w:r>
            <w:bookmarkStart w:id="5" w:name="_GoBack"/>
            <w:bookmarkEnd w:id="5"/>
            <w:r>
              <w:rPr>
                <w:rFonts w:hint="eastAsia" w:ascii="仿宋" w:hAnsi="仿宋" w:eastAsia="仿宋"/>
                <w:sz w:val="24"/>
                <w:szCs w:val="24"/>
              </w:rPr>
              <w:t>具体再安排</w:t>
            </w:r>
          </w:p>
        </w:tc>
        <w:tc>
          <w:tcPr>
            <w:tcW w:w="2147" w:type="dxa"/>
            <w:vAlign w:val="center"/>
          </w:tcPr>
          <w:p w14:paraId="64A5B7F6">
            <w:pPr>
              <w:spacing w:line="520" w:lineRule="exact"/>
              <w:jc w:val="center"/>
              <w:rPr>
                <w:rFonts w:hint="eastAsia" w:ascii="仿宋" w:hAnsi="仿宋" w:eastAsia="仿宋" w:cs="仿宋_GB2312"/>
                <w:sz w:val="24"/>
              </w:rPr>
            </w:pPr>
            <w:r>
              <w:rPr>
                <w:rFonts w:hint="eastAsia" w:ascii="仿宋" w:hAnsi="仿宋" w:eastAsia="仿宋" w:cs="仿宋_GB2312"/>
                <w:sz w:val="24"/>
              </w:rPr>
              <w:t>身份证</w:t>
            </w:r>
          </w:p>
        </w:tc>
      </w:tr>
    </w:tbl>
    <w:p w14:paraId="55553856">
      <w:pPr>
        <w:widowControl/>
        <w:spacing w:line="520" w:lineRule="exact"/>
        <w:jc w:val="left"/>
        <w:rPr>
          <w:rFonts w:hint="eastAsia" w:ascii="黑体" w:hAnsi="黑体" w:eastAsia="黑体" w:cs="黑体"/>
          <w:kern w:val="0"/>
          <w:sz w:val="28"/>
          <w:szCs w:val="28"/>
        </w:rPr>
      </w:pPr>
      <w:r>
        <w:rPr>
          <w:rFonts w:hint="eastAsia" w:ascii="黑体" w:hAnsi="黑体" w:eastAsia="黑体" w:cs="黑体"/>
          <w:kern w:val="0"/>
          <w:sz w:val="28"/>
          <w:szCs w:val="28"/>
        </w:rPr>
        <w:t>七、资格审查时需提供的证件及证明材料</w:t>
      </w:r>
    </w:p>
    <w:p w14:paraId="5234DF4E">
      <w:pPr>
        <w:widowControl/>
        <w:spacing w:line="520" w:lineRule="exact"/>
        <w:ind w:firstLine="480"/>
        <w:rPr>
          <w:rFonts w:hint="eastAsia" w:ascii="仿宋" w:hAnsi="仿宋" w:eastAsia="仿宋" w:cs="仿宋_GB2312"/>
          <w:kern w:val="0"/>
          <w:sz w:val="24"/>
        </w:rPr>
      </w:pPr>
      <w:r>
        <w:rPr>
          <w:rFonts w:hint="eastAsia" w:ascii="仿宋" w:hAnsi="仿宋" w:eastAsia="仿宋" w:cs="仿宋_GB2312"/>
          <w:kern w:val="0"/>
          <w:sz w:val="24"/>
        </w:rPr>
        <w:t>（1）初试准考证（中国研招网可下载）；</w:t>
      </w:r>
    </w:p>
    <w:p w14:paraId="21A5903C">
      <w:pPr>
        <w:widowControl/>
        <w:spacing w:line="520" w:lineRule="exact"/>
        <w:ind w:firstLine="480"/>
        <w:rPr>
          <w:rFonts w:hint="eastAsia" w:ascii="仿宋" w:hAnsi="仿宋" w:eastAsia="仿宋" w:cs="仿宋_GB2312"/>
          <w:kern w:val="0"/>
          <w:sz w:val="24"/>
        </w:rPr>
      </w:pPr>
      <w:r>
        <w:rPr>
          <w:rFonts w:hint="eastAsia" w:ascii="仿宋" w:hAnsi="仿宋" w:eastAsia="仿宋" w:cs="仿宋_GB2312"/>
          <w:kern w:val="0"/>
          <w:sz w:val="24"/>
        </w:rPr>
        <w:t>（2）报考时所使用的身份证原件及复印件（原件查验，复印件留存）；</w:t>
      </w:r>
    </w:p>
    <w:p w14:paraId="5265DBDA">
      <w:pPr>
        <w:widowControl/>
        <w:spacing w:line="520" w:lineRule="exact"/>
        <w:ind w:firstLine="480"/>
        <w:rPr>
          <w:rFonts w:hint="eastAsia" w:ascii="仿宋" w:hAnsi="仿宋" w:eastAsia="仿宋" w:cs="仿宋_GB2312"/>
          <w:kern w:val="0"/>
          <w:sz w:val="24"/>
        </w:rPr>
      </w:pPr>
      <w:r>
        <w:rPr>
          <w:rFonts w:hint="eastAsia" w:ascii="仿宋" w:hAnsi="仿宋" w:eastAsia="仿宋" w:cs="仿宋_GB2312"/>
          <w:kern w:val="0"/>
          <w:sz w:val="24"/>
        </w:rPr>
        <w:t>（3）应届毕业生学生证原件及复印件（原件查验，复印件留存），有效期内的学籍在线验证报告；复试时尚未取得本科毕业证书的自考和网络教育考生，须凭颁发毕业证书的省级高等教育自学考试办公室或网络教育高校出具的相关证明方可参加复试；同等学力考生需提供专科毕业证或本科结业证或成人高校应届本科生证明原件及复印件（原件查验，复印件留存），有效期内的学历证书电子注册备案表；</w:t>
      </w:r>
    </w:p>
    <w:p w14:paraId="4106474B">
      <w:pPr>
        <w:widowControl/>
        <w:spacing w:line="520" w:lineRule="exact"/>
        <w:ind w:firstLine="480"/>
        <w:rPr>
          <w:rFonts w:hint="eastAsia" w:ascii="仿宋" w:hAnsi="仿宋" w:eastAsia="仿宋" w:cs="仿宋_GB2312"/>
          <w:kern w:val="0"/>
          <w:sz w:val="24"/>
        </w:rPr>
      </w:pPr>
      <w:r>
        <w:rPr>
          <w:rFonts w:hint="eastAsia" w:ascii="仿宋" w:hAnsi="仿宋" w:eastAsia="仿宋" w:cs="仿宋_GB2312"/>
          <w:kern w:val="0"/>
          <w:sz w:val="24"/>
        </w:rPr>
        <w:t>（4）往届考生毕业（结业）证书原件及复印件（原件查验，复印件留存）、有效期内的学历证书电子注册备案表（或中国高等教育学历认证报告、教育部留学中心《国（境）外学历学位认证书》）；如获得相应学位，需提供学位证书原件及复印件（原件查验，复印件留存）、有效期内的中国高等教育学位在线验证报告。</w:t>
      </w:r>
    </w:p>
    <w:p w14:paraId="4BD30396">
      <w:pPr>
        <w:widowControl/>
        <w:spacing w:line="520" w:lineRule="exact"/>
        <w:ind w:firstLine="480"/>
        <w:rPr>
          <w:rFonts w:hint="eastAsia" w:ascii="仿宋" w:hAnsi="仿宋" w:eastAsia="仿宋" w:cs="仿宋_GB2312"/>
          <w:kern w:val="0"/>
          <w:sz w:val="24"/>
        </w:rPr>
      </w:pPr>
      <w:r>
        <w:rPr>
          <w:rFonts w:hint="eastAsia" w:ascii="仿宋" w:hAnsi="仿宋" w:eastAsia="仿宋" w:cs="仿宋_GB2312"/>
          <w:kern w:val="0"/>
          <w:sz w:val="24"/>
        </w:rPr>
        <w:t>（5）《江西师范大学2025年研究生招生思想政治品德考核表》原件（需审查盖章）；</w:t>
      </w:r>
    </w:p>
    <w:p w14:paraId="2C1E03EF">
      <w:pPr>
        <w:widowControl/>
        <w:spacing w:line="520" w:lineRule="exact"/>
        <w:ind w:firstLine="480"/>
        <w:rPr>
          <w:rFonts w:hint="eastAsia" w:ascii="仿宋" w:hAnsi="仿宋" w:eastAsia="仿宋" w:cs="仿宋_GB2312"/>
          <w:kern w:val="0"/>
          <w:sz w:val="24"/>
        </w:rPr>
      </w:pPr>
      <w:r>
        <w:rPr>
          <w:rFonts w:hint="eastAsia" w:ascii="仿宋" w:hAnsi="仿宋" w:eastAsia="仿宋" w:cs="仿宋_GB2312"/>
          <w:kern w:val="0"/>
          <w:sz w:val="24"/>
        </w:rPr>
        <w:t>（6）报考“少数民族高层次骨干人才”专项计划的考生应提交《少数民族高层次骨干人才计划考生登记表》原件;</w:t>
      </w:r>
    </w:p>
    <w:p w14:paraId="1871537E">
      <w:pPr>
        <w:widowControl/>
        <w:spacing w:line="520" w:lineRule="exact"/>
        <w:ind w:firstLine="480"/>
        <w:rPr>
          <w:rFonts w:hint="eastAsia" w:ascii="仿宋_GB2312" w:hAnsi="仿宋_GB2312" w:eastAsia="仿宋_GB2312" w:cs="仿宋_GB2312"/>
          <w:sz w:val="24"/>
        </w:rPr>
      </w:pPr>
      <w:r>
        <w:rPr>
          <w:rFonts w:hint="eastAsia" w:ascii="仿宋" w:hAnsi="仿宋" w:eastAsia="仿宋" w:cs="仿宋_GB2312"/>
          <w:kern w:val="0"/>
          <w:sz w:val="24"/>
        </w:rPr>
        <w:t>资格审查不符合要求者，取消复试资格。参加复试考生均需签订《诚信承诺书》；对有弄虚作假者一经发现随时取消复试或录取资格。</w:t>
      </w:r>
    </w:p>
    <w:p w14:paraId="7A1DDFEB">
      <w:pPr>
        <w:widowControl/>
        <w:spacing w:line="560" w:lineRule="exact"/>
        <w:jc w:val="left"/>
        <w:rPr>
          <w:rFonts w:hint="eastAsia" w:ascii="黑体" w:hAnsi="黑体" w:eastAsia="黑体" w:cs="黑体"/>
          <w:kern w:val="0"/>
          <w:sz w:val="28"/>
          <w:szCs w:val="28"/>
        </w:rPr>
      </w:pPr>
      <w:r>
        <w:rPr>
          <w:rFonts w:hint="eastAsia" w:ascii="黑体" w:hAnsi="黑体" w:eastAsia="黑体" w:cs="黑体"/>
          <w:kern w:val="0"/>
          <w:sz w:val="28"/>
          <w:szCs w:val="28"/>
        </w:rPr>
        <w:t>八、体检</w:t>
      </w:r>
    </w:p>
    <w:p w14:paraId="2518F660">
      <w:pPr>
        <w:widowControl/>
        <w:spacing w:line="520" w:lineRule="exact"/>
        <w:ind w:firstLine="480"/>
        <w:rPr>
          <w:rFonts w:hint="eastAsia" w:ascii="仿宋" w:hAnsi="仿宋" w:eastAsia="仿宋" w:cs="仿宋_GB2312"/>
          <w:kern w:val="0"/>
          <w:sz w:val="24"/>
        </w:rPr>
      </w:pPr>
      <w:r>
        <w:rPr>
          <w:rFonts w:hint="eastAsia" w:ascii="仿宋" w:hAnsi="仿宋" w:eastAsia="仿宋" w:cs="仿宋_GB2312"/>
          <w:kern w:val="0"/>
          <w:sz w:val="24"/>
        </w:rPr>
        <w:t>参照教育部、卫生部、中国残联印发的《普通高等学校招生体检工作指导意见》(教学〔2003〕3号)要求，按照《教育部办公厅卫生部办公厅关于普通高等学校招生学生入学身体检查取消乙肝项目检测有关问题的通知》(教学厅〔2010〕2号)规定，拟录取考生在拟录取后提交二甲以上医院的体检证明，入学时须参加学校统一组织的新生入学体检。</w:t>
      </w:r>
    </w:p>
    <w:p w14:paraId="46C26920">
      <w:pPr>
        <w:widowControl/>
        <w:spacing w:line="560" w:lineRule="exact"/>
        <w:jc w:val="left"/>
        <w:rPr>
          <w:rFonts w:hint="eastAsia" w:ascii="黑体" w:hAnsi="黑体" w:eastAsia="黑体" w:cs="黑体"/>
          <w:kern w:val="0"/>
          <w:sz w:val="28"/>
          <w:szCs w:val="28"/>
        </w:rPr>
      </w:pPr>
      <w:r>
        <w:rPr>
          <w:rFonts w:hint="eastAsia" w:ascii="黑体" w:hAnsi="黑体" w:eastAsia="黑体" w:cs="黑体"/>
          <w:kern w:val="0"/>
          <w:sz w:val="28"/>
          <w:szCs w:val="28"/>
        </w:rPr>
        <w:t>九、总成绩计算</w:t>
      </w:r>
    </w:p>
    <w:p w14:paraId="4EB5FBFD">
      <w:pPr>
        <w:widowControl/>
        <w:spacing w:line="520" w:lineRule="exact"/>
        <w:ind w:firstLine="480"/>
        <w:rPr>
          <w:rFonts w:hint="eastAsia" w:ascii="仿宋" w:hAnsi="仿宋" w:eastAsia="仿宋" w:cs="仿宋_GB2312"/>
          <w:kern w:val="0"/>
          <w:sz w:val="24"/>
        </w:rPr>
      </w:pPr>
      <w:r>
        <w:rPr>
          <w:rFonts w:hint="eastAsia" w:ascii="仿宋" w:hAnsi="仿宋" w:eastAsia="仿宋" w:cs="仿宋_GB2312"/>
          <w:kern w:val="0"/>
          <w:sz w:val="24"/>
        </w:rPr>
        <w:t>总成绩=初试成绩+复试成绩</w:t>
      </w:r>
    </w:p>
    <w:p w14:paraId="3017A691">
      <w:pPr>
        <w:widowControl/>
        <w:spacing w:line="560" w:lineRule="exact"/>
        <w:ind w:firstLine="560" w:firstLineChars="200"/>
        <w:jc w:val="left"/>
        <w:rPr>
          <w:rFonts w:hint="eastAsia" w:ascii="黑体" w:hAnsi="黑体" w:eastAsia="黑体" w:cs="黑体"/>
          <w:kern w:val="0"/>
          <w:sz w:val="28"/>
          <w:szCs w:val="28"/>
        </w:rPr>
      </w:pPr>
      <w:r>
        <w:rPr>
          <w:rFonts w:hint="eastAsia" w:ascii="黑体" w:hAnsi="黑体" w:eastAsia="黑体" w:cs="黑体"/>
          <w:kern w:val="0"/>
          <w:sz w:val="28"/>
          <w:szCs w:val="28"/>
        </w:rPr>
        <w:t>十、录取基本原则</w:t>
      </w:r>
    </w:p>
    <w:p w14:paraId="46416AAE">
      <w:pPr>
        <w:pStyle w:val="5"/>
        <w:widowControl w:val="0"/>
        <w:spacing w:before="0" w:beforeAutospacing="0" w:after="0" w:afterAutospacing="0" w:line="520" w:lineRule="exact"/>
        <w:ind w:firstLine="480" w:firstLineChars="200"/>
        <w:jc w:val="both"/>
        <w:outlineLvl w:val="0"/>
        <w:rPr>
          <w:rFonts w:hint="eastAsia" w:ascii="仿宋" w:hAnsi="仿宋" w:eastAsia="仿宋" w:cs="仿宋_GB2312"/>
        </w:rPr>
      </w:pPr>
      <w:bookmarkStart w:id="2" w:name="_Toc4075"/>
      <w:r>
        <w:rPr>
          <w:rFonts w:hint="eastAsia" w:ascii="仿宋" w:hAnsi="仿宋" w:eastAsia="仿宋" w:cs="仿宋_GB2312"/>
        </w:rPr>
        <w:t>1.未经复试的考生一律不得录取；</w:t>
      </w:r>
      <w:bookmarkEnd w:id="2"/>
    </w:p>
    <w:p w14:paraId="5805FC50">
      <w:pPr>
        <w:pStyle w:val="5"/>
        <w:widowControl w:val="0"/>
        <w:spacing w:before="0" w:beforeAutospacing="0" w:after="0" w:afterAutospacing="0" w:line="520" w:lineRule="exact"/>
        <w:ind w:firstLine="480" w:firstLineChars="200"/>
        <w:jc w:val="both"/>
        <w:rPr>
          <w:rFonts w:hint="eastAsia" w:ascii="仿宋" w:hAnsi="仿宋" w:eastAsia="仿宋" w:cs="仿宋_GB2312"/>
        </w:rPr>
      </w:pPr>
      <w:r>
        <w:rPr>
          <w:rFonts w:hint="eastAsia" w:ascii="仿宋" w:hAnsi="仿宋" w:eastAsia="仿宋" w:cs="仿宋_GB2312"/>
        </w:rPr>
        <w:t>2.复试期间若发现考生提供虚假信息、不符合报考条件、考试违纪舞弊、身体及思想政治道德状况不符合录取要求的，一律不予录取；</w:t>
      </w:r>
    </w:p>
    <w:p w14:paraId="2FA2F261">
      <w:pPr>
        <w:ind w:firstLine="645"/>
        <w:rPr>
          <w:rFonts w:hint="eastAsia" w:ascii="仿宋" w:hAnsi="仿宋" w:eastAsia="仿宋"/>
          <w:sz w:val="24"/>
        </w:rPr>
      </w:pPr>
      <w:bookmarkStart w:id="3" w:name="_Toc5974"/>
      <w:r>
        <w:rPr>
          <w:rFonts w:hint="eastAsia" w:ascii="仿宋" w:hAnsi="仿宋" w:eastAsia="仿宋" w:cs="仿宋_GB2312"/>
          <w:sz w:val="24"/>
        </w:rPr>
        <w:t>3.复试总成绩150为合格。</w:t>
      </w:r>
      <w:bookmarkEnd w:id="3"/>
      <w:r>
        <w:rPr>
          <w:rFonts w:hint="eastAsia" w:ascii="仿宋" w:hAnsi="仿宋" w:eastAsia="仿宋"/>
          <w:sz w:val="24"/>
        </w:rPr>
        <w:t>或同等学力考生加试科目中的任何一门考试成绩低于60分的，不予录取。</w:t>
      </w:r>
    </w:p>
    <w:p w14:paraId="0E122584">
      <w:pPr>
        <w:pStyle w:val="5"/>
        <w:widowControl w:val="0"/>
        <w:spacing w:before="0" w:beforeAutospacing="0" w:after="0" w:afterAutospacing="0" w:line="520" w:lineRule="exact"/>
        <w:ind w:firstLine="480" w:firstLineChars="200"/>
        <w:jc w:val="both"/>
        <w:rPr>
          <w:rFonts w:hint="eastAsia" w:ascii="仿宋" w:hAnsi="仿宋" w:eastAsia="仿宋" w:cs="仿宋_GB2312"/>
        </w:rPr>
      </w:pPr>
      <w:r>
        <w:rPr>
          <w:rFonts w:hint="eastAsia" w:ascii="仿宋" w:hAnsi="仿宋" w:eastAsia="仿宋" w:cs="仿宋_GB2312"/>
        </w:rPr>
        <w:t>4.复试总成绩与初试总成绩相加为考生总成绩。录取时按照考生总成绩排序，依次录取。总成绩相同依次比较初试总成绩、初始专业课成绩、复试综合测试成绩。</w:t>
      </w:r>
    </w:p>
    <w:p w14:paraId="3E05F01A">
      <w:pPr>
        <w:pStyle w:val="5"/>
        <w:widowControl w:val="0"/>
        <w:spacing w:before="0" w:beforeAutospacing="0" w:after="0" w:afterAutospacing="0" w:line="520" w:lineRule="exact"/>
        <w:ind w:firstLine="480" w:firstLineChars="200"/>
        <w:jc w:val="both"/>
        <w:rPr>
          <w:rFonts w:hint="eastAsia" w:ascii="仿宋" w:hAnsi="仿宋" w:eastAsia="仿宋" w:cs="仿宋_GB2312"/>
        </w:rPr>
      </w:pPr>
      <w:r>
        <w:rPr>
          <w:rFonts w:hint="eastAsia" w:ascii="仿宋" w:hAnsi="仿宋" w:eastAsia="仿宋" w:cs="仿宋_GB2312"/>
        </w:rPr>
        <w:t>5.调剂考生须在复试结果公布后按研招办要求及时办理有关调剂录取手续，否则将取消拟录取资格。</w:t>
      </w:r>
    </w:p>
    <w:p w14:paraId="69956382">
      <w:pPr>
        <w:pStyle w:val="5"/>
        <w:widowControl w:val="0"/>
        <w:spacing w:before="0" w:beforeAutospacing="0" w:after="0" w:afterAutospacing="0" w:line="520" w:lineRule="exact"/>
        <w:ind w:firstLine="480" w:firstLineChars="200"/>
        <w:jc w:val="both"/>
        <w:outlineLvl w:val="0"/>
        <w:rPr>
          <w:rFonts w:hint="eastAsia" w:ascii="仿宋" w:hAnsi="仿宋" w:eastAsia="仿宋" w:cs="仿宋_GB2312"/>
        </w:rPr>
      </w:pPr>
      <w:bookmarkStart w:id="4" w:name="_Toc29452"/>
      <w:r>
        <w:rPr>
          <w:rFonts w:hint="eastAsia" w:ascii="仿宋" w:hAnsi="仿宋" w:eastAsia="仿宋" w:cs="仿宋_GB2312"/>
        </w:rPr>
        <w:t>6.一志愿考生、调剂生分别单独排名录取。</w:t>
      </w:r>
      <w:bookmarkEnd w:id="4"/>
    </w:p>
    <w:p w14:paraId="081B2DE8">
      <w:pPr>
        <w:pStyle w:val="5"/>
        <w:widowControl w:val="0"/>
        <w:spacing w:before="0" w:beforeAutospacing="0" w:after="0" w:afterAutospacing="0" w:line="520" w:lineRule="exact"/>
        <w:ind w:firstLine="480" w:firstLineChars="200"/>
        <w:jc w:val="both"/>
        <w:rPr>
          <w:rFonts w:hint="eastAsia" w:ascii="仿宋" w:hAnsi="仿宋" w:eastAsia="仿宋" w:cs="仿宋_GB2312"/>
        </w:rPr>
      </w:pPr>
      <w:r>
        <w:rPr>
          <w:rFonts w:hint="eastAsia" w:ascii="仿宋" w:hAnsi="仿宋" w:eastAsia="仿宋" w:cs="仿宋_GB2312"/>
        </w:rPr>
        <w:t>7.“少数民族高层次骨干人才计划”、“退役大学生士兵专项硕士研究生招生计划”考生分别单独排名。</w:t>
      </w:r>
    </w:p>
    <w:p w14:paraId="7B51578A">
      <w:pPr>
        <w:widowControl/>
        <w:spacing w:line="560" w:lineRule="exact"/>
        <w:ind w:firstLine="560" w:firstLineChars="200"/>
        <w:jc w:val="left"/>
        <w:rPr>
          <w:rFonts w:hint="eastAsia" w:ascii="黑体" w:hAnsi="黑体" w:eastAsia="黑体" w:cs="黑体"/>
          <w:kern w:val="0"/>
          <w:sz w:val="28"/>
          <w:szCs w:val="28"/>
        </w:rPr>
      </w:pPr>
      <w:r>
        <w:rPr>
          <w:rFonts w:hint="eastAsia" w:ascii="黑体" w:hAnsi="黑体" w:eastAsia="黑体" w:cs="黑体"/>
          <w:kern w:val="0"/>
          <w:sz w:val="28"/>
          <w:szCs w:val="28"/>
        </w:rPr>
        <w:t>十一、咨询及申诉联系方式</w:t>
      </w:r>
    </w:p>
    <w:p w14:paraId="444CED6D">
      <w:pPr>
        <w:pStyle w:val="5"/>
        <w:widowControl w:val="0"/>
        <w:spacing w:before="0" w:beforeAutospacing="0" w:after="0" w:afterAutospacing="0" w:line="520" w:lineRule="exact"/>
        <w:ind w:firstLine="480" w:firstLineChars="200"/>
        <w:jc w:val="both"/>
        <w:rPr>
          <w:rFonts w:hint="eastAsia" w:ascii="仿宋" w:hAnsi="仿宋" w:eastAsia="仿宋" w:cs="仿宋_GB2312"/>
        </w:rPr>
      </w:pPr>
      <w:r>
        <w:rPr>
          <w:rFonts w:hint="eastAsia" w:ascii="仿宋" w:hAnsi="仿宋" w:eastAsia="仿宋" w:cs="仿宋_GB2312"/>
        </w:rPr>
        <w:t>经济与管理学院（商学院）联系方式：0791-88120773</w:t>
      </w:r>
    </w:p>
    <w:p w14:paraId="59868653">
      <w:pPr>
        <w:pStyle w:val="5"/>
        <w:widowControl w:val="0"/>
        <w:spacing w:before="0" w:beforeAutospacing="0" w:after="0" w:afterAutospacing="0" w:line="520" w:lineRule="exact"/>
        <w:ind w:firstLine="480" w:firstLineChars="200"/>
        <w:jc w:val="both"/>
        <w:rPr>
          <w:rFonts w:hint="eastAsia" w:ascii="仿宋" w:hAnsi="仿宋" w:eastAsia="仿宋" w:cs="仿宋_GB2312"/>
        </w:rPr>
      </w:pPr>
      <w:r>
        <w:rPr>
          <w:rFonts w:hint="eastAsia" w:ascii="仿宋" w:hAnsi="仿宋" w:eastAsia="仿宋" w:cs="仿宋_GB2312"/>
        </w:rPr>
        <w:t>研究生院联系方式：0791-88120608</w:t>
      </w:r>
    </w:p>
    <w:p w14:paraId="5D60C2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36B6A"/>
    <w:multiLevelType w:val="singleLevel"/>
    <w:tmpl w:val="95B36B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9D"/>
    <w:rsid w:val="00055A5F"/>
    <w:rsid w:val="001B47D5"/>
    <w:rsid w:val="001C2181"/>
    <w:rsid w:val="001C240A"/>
    <w:rsid w:val="00314D35"/>
    <w:rsid w:val="003923D6"/>
    <w:rsid w:val="0054736B"/>
    <w:rsid w:val="008A269D"/>
    <w:rsid w:val="009976D6"/>
    <w:rsid w:val="00A0011A"/>
    <w:rsid w:val="00B17F05"/>
    <w:rsid w:val="00C52DB8"/>
    <w:rsid w:val="00E67A50"/>
    <w:rsid w:val="00F908BC"/>
    <w:rsid w:val="00F97BDF"/>
    <w:rsid w:val="0338552D"/>
    <w:rsid w:val="140E5EE8"/>
    <w:rsid w:val="1B7D2376"/>
    <w:rsid w:val="1EF503D0"/>
    <w:rsid w:val="28A44193"/>
    <w:rsid w:val="28E52750"/>
    <w:rsid w:val="337E32CD"/>
    <w:rsid w:val="3AF254E3"/>
    <w:rsid w:val="4D5C3245"/>
    <w:rsid w:val="583E2FE6"/>
    <w:rsid w:val="66D1237D"/>
    <w:rsid w:val="67FD506A"/>
    <w:rsid w:val="7AFA2B2A"/>
    <w:rsid w:val="7C5E2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0"/>
    <w:rPr>
      <w:rFonts w:ascii="Times New Roman" w:hAnsi="Times New Roman" w:eastAsia="宋体" w:cs="Times New Roman"/>
      <w:kern w:val="2"/>
      <w:sz w:val="18"/>
      <w:szCs w:val="18"/>
    </w:rPr>
  </w:style>
  <w:style w:type="character" w:customStyle="1" w:styleId="9">
    <w:name w:val="页脚 字符"/>
    <w:basedOn w:val="7"/>
    <w:link w:val="3"/>
    <w:qFormat/>
    <w:uiPriority w:val="0"/>
    <w:rPr>
      <w:rFonts w:ascii="Times New Roman" w:hAnsi="Times New Roman" w:eastAsia="宋体" w:cs="Times New Roman"/>
      <w:kern w:val="2"/>
      <w:sz w:val="18"/>
      <w:szCs w:val="18"/>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2658</Words>
  <Characters>2831</Characters>
  <Lines>20</Lines>
  <Paragraphs>5</Paragraphs>
  <TotalTime>0</TotalTime>
  <ScaleCrop>false</ScaleCrop>
  <LinksUpToDate>false</LinksUpToDate>
  <CharactersWithSpaces>2832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2025-03-31T02:35:00Z</dcterms:created>
  <dc:creator>Administrator</dc:creator>
  <cp:lastModifiedBy>李翠玲</cp:lastModifiedBy>
  <dcterms:modified xsi:type="dcterms:W3CDTF">2025-04-01T09:10:56Z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eyJoZGlkIjoiNjMyMWYwMTA5YmQ3MDJmNjc1YzQzNzllODIyZGRkYjMiLCJ1c2VySWQiOiIxNjQwNDM2NjgxIn0=</vt:lpwstr>
  </property>
  <property fmtid="{D5CDD505-2E9C-101B-9397-08002B2CF9AE}" pid="4" name="ICV">
    <vt:lpwstr>F34C5A5780A44F049AC03C1EE766FC1D_13</vt:lpwstr>
  </property>
</Properties>
</file>